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91" w:rsidRPr="006C36F0" w:rsidRDefault="00D06F09" w:rsidP="00734A91">
      <w:r>
        <w:t>R</w:t>
      </w:r>
      <w:r w:rsidR="00734A91" w:rsidRPr="006C36F0">
        <w:t>EPUBLIKA HRVATSKA</w:t>
      </w:r>
    </w:p>
    <w:p w:rsidR="00734A91" w:rsidRPr="006C36F0" w:rsidRDefault="00734A91" w:rsidP="00734A91">
      <w:r w:rsidRPr="006C36F0">
        <w:t>ŽUPANIJA ZADARSKA</w:t>
      </w:r>
    </w:p>
    <w:p w:rsidR="00734A91" w:rsidRPr="006C36F0" w:rsidRDefault="00734A91" w:rsidP="00734A91">
      <w:r w:rsidRPr="006C36F0">
        <w:t>OSNOVNA ŠKOLA „PETAR LORINI“</w:t>
      </w:r>
      <w:r w:rsidR="00D06F09">
        <w:t xml:space="preserve">, </w:t>
      </w:r>
      <w:r w:rsidRPr="006C36F0">
        <w:t xml:space="preserve"> SALI</w:t>
      </w:r>
    </w:p>
    <w:p w:rsidR="00BE270D" w:rsidRPr="006C36F0" w:rsidRDefault="00BE270D" w:rsidP="00734A91">
      <w:r w:rsidRPr="006C36F0">
        <w:t>Sali III 20</w:t>
      </w:r>
    </w:p>
    <w:p w:rsidR="00BE270D" w:rsidRPr="006C36F0" w:rsidRDefault="00BE270D" w:rsidP="00734A91">
      <w:r w:rsidRPr="006C36F0">
        <w:t>23281 Sali</w:t>
      </w:r>
    </w:p>
    <w:p w:rsidR="00BE270D" w:rsidRPr="006C36F0" w:rsidRDefault="00BE270D" w:rsidP="00734A91"/>
    <w:p w:rsidR="00BE270D" w:rsidRPr="006C36F0" w:rsidRDefault="00BE270D" w:rsidP="00734A91">
      <w:r w:rsidRPr="006C36F0">
        <w:t>OIB: 13569479772</w:t>
      </w:r>
    </w:p>
    <w:p w:rsidR="00BE270D" w:rsidRPr="006C36F0" w:rsidRDefault="00BE270D" w:rsidP="00734A91">
      <w:r w:rsidRPr="006C36F0">
        <w:t>RKP: 12948</w:t>
      </w:r>
    </w:p>
    <w:p w:rsidR="00BE270D" w:rsidRPr="006C36F0" w:rsidRDefault="00BE270D" w:rsidP="00734A91">
      <w:r w:rsidRPr="006C36F0">
        <w:t>MB: 03141772</w:t>
      </w:r>
    </w:p>
    <w:p w:rsidR="00BE270D" w:rsidRPr="006C36F0" w:rsidRDefault="00BE270D" w:rsidP="00734A91"/>
    <w:p w:rsidR="0056679C" w:rsidRDefault="00734A91" w:rsidP="00734A91">
      <w:r w:rsidRPr="006C36F0">
        <w:t xml:space="preserve">KLASA: </w:t>
      </w:r>
    </w:p>
    <w:p w:rsidR="00734A91" w:rsidRPr="006C36F0" w:rsidRDefault="00734A91" w:rsidP="00734A91">
      <w:r w:rsidRPr="006C36F0">
        <w:t>URBROJ:</w:t>
      </w:r>
      <w:r w:rsidR="00E533C2">
        <w:t xml:space="preserve"> </w:t>
      </w:r>
    </w:p>
    <w:p w:rsidR="00734A91" w:rsidRPr="006C36F0" w:rsidRDefault="0031612E" w:rsidP="00734A91">
      <w:r>
        <w:t>31</w:t>
      </w:r>
      <w:r w:rsidR="00E533C2">
        <w:t>.LISTOPADA 202</w:t>
      </w:r>
      <w:r>
        <w:t>5</w:t>
      </w:r>
      <w:r w:rsidR="00E533C2">
        <w:t>.</w:t>
      </w:r>
    </w:p>
    <w:p w:rsidR="00734A91" w:rsidRPr="006C36F0" w:rsidRDefault="00734A91" w:rsidP="00734A91"/>
    <w:p w:rsidR="00734A91" w:rsidRPr="00C4164B" w:rsidRDefault="00734A91" w:rsidP="00734A91">
      <w:pPr>
        <w:rPr>
          <w:rFonts w:ascii="Calibri" w:hAnsi="Calibri"/>
        </w:rPr>
      </w:pPr>
    </w:p>
    <w:p w:rsidR="007748D6" w:rsidRDefault="007748D6" w:rsidP="007748D6">
      <w:pPr>
        <w:jc w:val="center"/>
        <w:rPr>
          <w:b/>
        </w:rPr>
      </w:pPr>
      <w:r>
        <w:rPr>
          <w:b/>
        </w:rPr>
        <w:t>OBRAZLOŽENJE FINANCIJSKOG PLANA</w:t>
      </w:r>
    </w:p>
    <w:p w:rsidR="007748D6" w:rsidRDefault="007748D6" w:rsidP="007748D6">
      <w:pPr>
        <w:jc w:val="center"/>
        <w:rPr>
          <w:b/>
        </w:rPr>
      </w:pPr>
      <w:r>
        <w:rPr>
          <w:b/>
        </w:rPr>
        <w:t>OŠ PETAR LORINI – SALI ZA 202</w:t>
      </w:r>
      <w:r w:rsidR="0031612E">
        <w:rPr>
          <w:b/>
        </w:rPr>
        <w:t>6</w:t>
      </w:r>
      <w:r>
        <w:rPr>
          <w:b/>
        </w:rPr>
        <w:t>.GODINU</w:t>
      </w:r>
      <w:r w:rsidR="00E533C2">
        <w:rPr>
          <w:b/>
        </w:rPr>
        <w:t xml:space="preserve"> SA PROJEKCIJAMA ZA 202</w:t>
      </w:r>
      <w:r w:rsidR="0031612E">
        <w:rPr>
          <w:b/>
        </w:rPr>
        <w:t>7</w:t>
      </w:r>
      <w:r w:rsidR="00E533C2">
        <w:rPr>
          <w:b/>
        </w:rPr>
        <w:t>. I 202</w:t>
      </w:r>
      <w:r w:rsidR="0031612E">
        <w:rPr>
          <w:b/>
        </w:rPr>
        <w:t>8</w:t>
      </w:r>
      <w:r w:rsidR="00E533C2">
        <w:rPr>
          <w:b/>
        </w:rPr>
        <w:t>.GODINU</w:t>
      </w:r>
    </w:p>
    <w:p w:rsidR="007748D6" w:rsidRDefault="007748D6" w:rsidP="007748D6">
      <w:pPr>
        <w:jc w:val="center"/>
        <w:rPr>
          <w:b/>
        </w:rPr>
      </w:pPr>
    </w:p>
    <w:p w:rsidR="007748D6" w:rsidRDefault="007748D6" w:rsidP="007748D6">
      <w:pPr>
        <w:rPr>
          <w:b/>
        </w:rPr>
      </w:pPr>
      <w:r>
        <w:rPr>
          <w:b/>
        </w:rPr>
        <w:t>UVOD</w:t>
      </w:r>
    </w:p>
    <w:p w:rsidR="007748D6" w:rsidRDefault="007748D6" w:rsidP="007748D6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7748D6" w:rsidRDefault="007748D6" w:rsidP="007748D6">
      <w:pPr>
        <w:jc w:val="both"/>
      </w:pPr>
      <w:r>
        <w:t xml:space="preserve">Osnovna škola Petar </w:t>
      </w:r>
      <w:proofErr w:type="spellStart"/>
      <w:r>
        <w:t>Lorini</w:t>
      </w:r>
      <w:proofErr w:type="spellEnd"/>
      <w:r>
        <w:t xml:space="preserve"> u Salima na Dugom otoku najstarija je škola na zadarskom području.  Obavlja djelatnost osnovnog obrazovanja, sukladno Zakonu o odgoju i obrazovanju u osnovnoj i srednjoj školi te Statuta škole, od 1840.godine. </w:t>
      </w:r>
    </w:p>
    <w:p w:rsidR="007748D6" w:rsidRDefault="007748D6" w:rsidP="007748D6">
      <w:pPr>
        <w:jc w:val="both"/>
      </w:pPr>
    </w:p>
    <w:p w:rsidR="0055699D" w:rsidRPr="006C36F0" w:rsidRDefault="007748D6" w:rsidP="006C36F0">
      <w:r w:rsidRPr="006C36F0">
        <w:t xml:space="preserve">Škola </w:t>
      </w:r>
      <w:r w:rsidR="0055699D" w:rsidRPr="006C36F0">
        <w:t xml:space="preserve">u sklopu svog redovnog rada </w:t>
      </w:r>
      <w:r w:rsidRPr="006C36F0">
        <w:t xml:space="preserve">obavlja sljedeće poslove: </w:t>
      </w:r>
    </w:p>
    <w:p w:rsidR="0055699D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 xml:space="preserve">upise i ispise iz škole s vođenjem odgovarajuće evidencije i dokumentacije </w:t>
      </w:r>
    </w:p>
    <w:p w:rsidR="0055699D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 xml:space="preserve">organizaciju i izvođenje nastave i drugih oblika odgojno-obrazovnog rada s učenicima i vođenje odgovarajućih evidencija </w:t>
      </w:r>
    </w:p>
    <w:p w:rsidR="006C36F0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>vrednovanje i ocjenjivanje učenika i vođenje odgovarajuće evidencij</w:t>
      </w:r>
      <w:r w:rsidR="0055699D" w:rsidRPr="006C36F0">
        <w:rPr>
          <w:rFonts w:ascii="Times New Roman" w:hAnsi="Times New Roman" w:cs="Times New Roman"/>
          <w:sz w:val="24"/>
          <w:szCs w:val="24"/>
        </w:rPr>
        <w:t>e</w:t>
      </w:r>
      <w:r w:rsidRPr="006C36F0">
        <w:rPr>
          <w:rFonts w:ascii="Times New Roman" w:hAnsi="Times New Roman" w:cs="Times New Roman"/>
          <w:sz w:val="24"/>
          <w:szCs w:val="24"/>
        </w:rPr>
        <w:t xml:space="preserve"> o tome i vođenje evidencija o učeničkim postignućima</w:t>
      </w:r>
    </w:p>
    <w:p w:rsidR="0055699D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>izricanje pedagoških mjera i vođenje evidencija o tim mjerama</w:t>
      </w:r>
    </w:p>
    <w:p w:rsidR="0055699D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 xml:space="preserve">organiziranje predmetnih i razrednih ispita i vođenje evidencije o njima </w:t>
      </w:r>
    </w:p>
    <w:p w:rsidR="0055699D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 xml:space="preserve">izdavanje javnih isprava </w:t>
      </w:r>
      <w:r w:rsidR="0055699D" w:rsidRPr="006C36F0">
        <w:rPr>
          <w:rFonts w:ascii="Times New Roman" w:hAnsi="Times New Roman" w:cs="Times New Roman"/>
          <w:sz w:val="24"/>
          <w:szCs w:val="24"/>
        </w:rPr>
        <w:t>i potvrda</w:t>
      </w:r>
    </w:p>
    <w:p w:rsidR="007748D6" w:rsidRPr="006C36F0" w:rsidRDefault="007748D6" w:rsidP="006D1FC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C36F0">
        <w:rPr>
          <w:rFonts w:ascii="Times New Roman" w:hAnsi="Times New Roman" w:cs="Times New Roman"/>
          <w:sz w:val="24"/>
          <w:szCs w:val="24"/>
        </w:rPr>
        <w:t>upisivanje podataka o odgojno-obrazovnom radu u e–maticu – zajednički elektronički upisnik ustanova.</w:t>
      </w:r>
    </w:p>
    <w:p w:rsidR="0055699D" w:rsidRPr="006C36F0" w:rsidRDefault="0055699D" w:rsidP="006C36F0"/>
    <w:p w:rsidR="007748D6" w:rsidRPr="006C36F0" w:rsidRDefault="007748D6" w:rsidP="006C36F0">
      <w:r w:rsidRPr="006C36F0">
        <w:t xml:space="preserve">Nastava je organizirana u jednoj smjeni, u </w:t>
      </w:r>
      <w:r w:rsidR="0055699D" w:rsidRPr="006C36F0">
        <w:t xml:space="preserve">petodnevnom radnom tjednu, u Matičnoj školi Petar </w:t>
      </w:r>
      <w:proofErr w:type="spellStart"/>
      <w:r w:rsidR="0055699D" w:rsidRPr="006C36F0">
        <w:t>Lorini</w:t>
      </w:r>
      <w:proofErr w:type="spellEnd"/>
      <w:r w:rsidR="0055699D" w:rsidRPr="006C36F0">
        <w:t xml:space="preserve"> i Područnoj školi </w:t>
      </w:r>
      <w:proofErr w:type="spellStart"/>
      <w:r w:rsidR="0055699D" w:rsidRPr="006C36F0">
        <w:t>Božava</w:t>
      </w:r>
      <w:proofErr w:type="spellEnd"/>
      <w:r w:rsidR="0055699D" w:rsidRPr="006C36F0">
        <w:t xml:space="preserve">. Školu pohađa </w:t>
      </w:r>
      <w:r w:rsidR="0056679C" w:rsidRPr="000267E7">
        <w:t>79</w:t>
      </w:r>
      <w:r w:rsidR="0055699D" w:rsidRPr="000267E7">
        <w:t xml:space="preserve"> učenika</w:t>
      </w:r>
      <w:r w:rsidR="0055699D" w:rsidRPr="006C36F0">
        <w:t>.</w:t>
      </w:r>
    </w:p>
    <w:p w:rsidR="0055699D" w:rsidRPr="006C36F0" w:rsidRDefault="0055699D" w:rsidP="006C36F0"/>
    <w:p w:rsidR="0055699D" w:rsidRPr="006C36F0" w:rsidRDefault="0055699D" w:rsidP="006C36F0">
      <w:r w:rsidRPr="006C36F0">
        <w:t>Škola prati školski kurikulum i godišnji plan i program</w:t>
      </w:r>
      <w:r w:rsidR="00E33584" w:rsidRPr="006C36F0">
        <w:t>, na temeljima nacionalnog kurikuluma, nastavnih planova i programa.</w:t>
      </w:r>
    </w:p>
    <w:p w:rsidR="0055699D" w:rsidRDefault="0055699D" w:rsidP="007748D6">
      <w:pPr>
        <w:jc w:val="both"/>
      </w:pPr>
    </w:p>
    <w:p w:rsidR="008E604A" w:rsidRDefault="008E604A" w:rsidP="008E604A">
      <w:pPr>
        <w:jc w:val="both"/>
        <w:rPr>
          <w:b/>
          <w:sz w:val="28"/>
          <w:szCs w:val="28"/>
        </w:rPr>
      </w:pPr>
    </w:p>
    <w:p w:rsidR="00F50C0A" w:rsidRDefault="00F50C0A" w:rsidP="008E604A">
      <w:pPr>
        <w:jc w:val="both"/>
        <w:rPr>
          <w:b/>
          <w:sz w:val="28"/>
          <w:szCs w:val="28"/>
        </w:rPr>
      </w:pPr>
    </w:p>
    <w:p w:rsidR="00F50C0A" w:rsidRDefault="00F50C0A" w:rsidP="008E604A">
      <w:pPr>
        <w:jc w:val="both"/>
        <w:rPr>
          <w:b/>
          <w:sz w:val="28"/>
          <w:szCs w:val="28"/>
        </w:rPr>
      </w:pPr>
    </w:p>
    <w:p w:rsidR="00F50C0A" w:rsidRDefault="00F50C0A" w:rsidP="008E604A">
      <w:pPr>
        <w:jc w:val="both"/>
        <w:rPr>
          <w:b/>
          <w:sz w:val="28"/>
          <w:szCs w:val="28"/>
        </w:rPr>
      </w:pPr>
    </w:p>
    <w:p w:rsidR="00F50C0A" w:rsidRDefault="00F50C0A" w:rsidP="008E604A">
      <w:pPr>
        <w:jc w:val="both"/>
        <w:rPr>
          <w:b/>
          <w:sz w:val="28"/>
          <w:szCs w:val="28"/>
        </w:rPr>
      </w:pPr>
    </w:p>
    <w:p w:rsidR="008E604A" w:rsidRPr="006C36F0" w:rsidRDefault="008E604A" w:rsidP="006C36F0">
      <w:pPr>
        <w:rPr>
          <w:b/>
          <w:sz w:val="28"/>
          <w:szCs w:val="28"/>
        </w:rPr>
      </w:pPr>
      <w:r w:rsidRPr="006C36F0">
        <w:rPr>
          <w:b/>
          <w:sz w:val="28"/>
          <w:szCs w:val="28"/>
        </w:rPr>
        <w:lastRenderedPageBreak/>
        <w:t>Obrazloženje programa rada školske ustanove</w:t>
      </w:r>
    </w:p>
    <w:p w:rsidR="008E604A" w:rsidRDefault="008E604A" w:rsidP="008E604A">
      <w:pPr>
        <w:jc w:val="both"/>
        <w:rPr>
          <w:b/>
          <w:sz w:val="28"/>
          <w:szCs w:val="28"/>
        </w:rPr>
      </w:pPr>
    </w:p>
    <w:p w:rsidR="008E604A" w:rsidRDefault="008E604A" w:rsidP="008E604A">
      <w:pPr>
        <w:jc w:val="both"/>
      </w:pPr>
      <w:r>
        <w:t>Kontinuirano kvalitetno obrazovanje i odgoj učenika ostvarujemo:</w:t>
      </w:r>
    </w:p>
    <w:p w:rsidR="008E604A" w:rsidRDefault="008E604A" w:rsidP="008E60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04A">
        <w:rPr>
          <w:rFonts w:ascii="Times New Roman" w:hAnsi="Times New Roman" w:cs="Times New Roman"/>
          <w:sz w:val="24"/>
          <w:szCs w:val="24"/>
        </w:rPr>
        <w:t xml:space="preserve">usavršavanjem nastavnika </w:t>
      </w:r>
      <w:r>
        <w:rPr>
          <w:rFonts w:ascii="Times New Roman" w:hAnsi="Times New Roman" w:cs="Times New Roman"/>
          <w:sz w:val="24"/>
          <w:szCs w:val="24"/>
        </w:rPr>
        <w:t>putem seminara i stručnih skupova</w:t>
      </w:r>
    </w:p>
    <w:p w:rsidR="008E604A" w:rsidRPr="005F16C4" w:rsidRDefault="008E604A" w:rsidP="008E60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604A">
        <w:rPr>
          <w:rFonts w:ascii="Times New Roman" w:hAnsi="Times New Roman" w:cs="Times New Roman"/>
          <w:sz w:val="24"/>
          <w:szCs w:val="24"/>
        </w:rPr>
        <w:t>poticanjem učenika na slobodne aktivnosti, natjecanja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604A">
        <w:rPr>
          <w:rFonts w:ascii="Times New Roman" w:hAnsi="Times New Roman" w:cs="Times New Roman"/>
          <w:sz w:val="24"/>
          <w:szCs w:val="24"/>
        </w:rPr>
        <w:t xml:space="preserve"> projekte</w:t>
      </w:r>
      <w:r w:rsidR="005F16C4">
        <w:rPr>
          <w:rFonts w:ascii="Times New Roman" w:hAnsi="Times New Roman" w:cs="Times New Roman"/>
          <w:sz w:val="24"/>
          <w:szCs w:val="24"/>
        </w:rPr>
        <w:t xml:space="preserve"> i priredbe</w:t>
      </w:r>
    </w:p>
    <w:p w:rsidR="008E604A" w:rsidRDefault="008E604A" w:rsidP="008E60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6C4">
        <w:rPr>
          <w:rFonts w:ascii="Times New Roman" w:hAnsi="Times New Roman" w:cs="Times New Roman"/>
          <w:sz w:val="24"/>
          <w:szCs w:val="24"/>
        </w:rPr>
        <w:t>poticanje</w:t>
      </w:r>
      <w:r w:rsidR="005F16C4">
        <w:rPr>
          <w:rFonts w:ascii="Times New Roman" w:hAnsi="Times New Roman" w:cs="Times New Roman"/>
          <w:sz w:val="24"/>
          <w:szCs w:val="24"/>
        </w:rPr>
        <w:t>m učenika</w:t>
      </w:r>
      <w:r w:rsidRPr="005F16C4">
        <w:rPr>
          <w:rFonts w:ascii="Times New Roman" w:hAnsi="Times New Roman" w:cs="Times New Roman"/>
          <w:sz w:val="24"/>
          <w:szCs w:val="24"/>
        </w:rPr>
        <w:t xml:space="preserve"> na sudjelovanje na sportskim aktivnostima</w:t>
      </w:r>
      <w:r w:rsidR="005F16C4">
        <w:rPr>
          <w:rFonts w:ascii="Times New Roman" w:hAnsi="Times New Roman" w:cs="Times New Roman"/>
          <w:sz w:val="24"/>
          <w:szCs w:val="24"/>
        </w:rPr>
        <w:t xml:space="preserve"> kroz razna natjecanja</w:t>
      </w:r>
    </w:p>
    <w:p w:rsidR="005F16C4" w:rsidRDefault="008E604A" w:rsidP="008E60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6C4">
        <w:rPr>
          <w:rFonts w:ascii="Times New Roman" w:hAnsi="Times New Roman" w:cs="Times New Roman"/>
          <w:sz w:val="24"/>
          <w:szCs w:val="24"/>
        </w:rPr>
        <w:t>poticanje</w:t>
      </w:r>
      <w:r w:rsidR="005F16C4" w:rsidRPr="005F16C4">
        <w:rPr>
          <w:rFonts w:ascii="Times New Roman" w:hAnsi="Times New Roman" w:cs="Times New Roman"/>
          <w:sz w:val="24"/>
          <w:szCs w:val="24"/>
        </w:rPr>
        <w:t xml:space="preserve">m otvorene komunikacije između </w:t>
      </w:r>
      <w:r w:rsidR="005F16C4">
        <w:rPr>
          <w:rFonts w:ascii="Times New Roman" w:hAnsi="Times New Roman" w:cs="Times New Roman"/>
          <w:sz w:val="24"/>
          <w:szCs w:val="24"/>
        </w:rPr>
        <w:t>Škole, obitelji i lokalne zajednice</w:t>
      </w:r>
      <w:r w:rsidRPr="005F1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4A" w:rsidRDefault="008E604A" w:rsidP="008E60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6C4">
        <w:rPr>
          <w:rFonts w:ascii="Times New Roman" w:hAnsi="Times New Roman" w:cs="Times New Roman"/>
          <w:sz w:val="24"/>
          <w:szCs w:val="24"/>
        </w:rPr>
        <w:t>organiziranje</w:t>
      </w:r>
      <w:r w:rsidR="00B36CC8">
        <w:rPr>
          <w:rFonts w:ascii="Times New Roman" w:hAnsi="Times New Roman" w:cs="Times New Roman"/>
          <w:sz w:val="24"/>
          <w:szCs w:val="24"/>
        </w:rPr>
        <w:t>m</w:t>
      </w:r>
      <w:r w:rsidRPr="005F16C4">
        <w:rPr>
          <w:rFonts w:ascii="Times New Roman" w:hAnsi="Times New Roman" w:cs="Times New Roman"/>
          <w:sz w:val="24"/>
          <w:szCs w:val="24"/>
        </w:rPr>
        <w:t xml:space="preserve"> zajedničkih aktivnosti učenika i učitelja tijekom izvannastavnih aktivnosti</w:t>
      </w:r>
    </w:p>
    <w:p w:rsidR="00962B08" w:rsidRPr="00962B08" w:rsidRDefault="00962B08" w:rsidP="00962B08">
      <w:pPr>
        <w:jc w:val="both"/>
      </w:pPr>
    </w:p>
    <w:p w:rsidR="00962B08" w:rsidRDefault="00962B08" w:rsidP="00093375">
      <w:pPr>
        <w:rPr>
          <w:b/>
          <w:sz w:val="28"/>
          <w:szCs w:val="28"/>
        </w:rPr>
      </w:pPr>
      <w:r w:rsidRPr="00962B08">
        <w:rPr>
          <w:b/>
          <w:sz w:val="28"/>
          <w:szCs w:val="28"/>
        </w:rPr>
        <w:t>Zakonske i druge pravne osnove</w:t>
      </w:r>
    </w:p>
    <w:p w:rsidR="00093375" w:rsidRPr="00093375" w:rsidRDefault="00093375" w:rsidP="00093375">
      <w:pPr>
        <w:rPr>
          <w:b/>
          <w:sz w:val="28"/>
          <w:szCs w:val="28"/>
        </w:rPr>
      </w:pPr>
    </w:p>
    <w:p w:rsidR="00924DA2" w:rsidRPr="00093375" w:rsidRDefault="00924DA2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Zakon o odgoju i obrazovanju u osnovnoj i srednjoj školi, NN br. 87/08, 06/09, 92/10, 105/10, 90/11, 5/12, 16/12, 86/12, 126/12, 94/13, 152/14, 07/17, 68/18, 98/19, 64/20, 151/22</w:t>
      </w:r>
    </w:p>
    <w:p w:rsidR="00924DA2" w:rsidRPr="00093375" w:rsidRDefault="00924DA2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Zakon o ustanovama, NN br. 76/93, 29/97, 47/99, 35/08, 127/19, 151/22</w:t>
      </w:r>
    </w:p>
    <w:p w:rsidR="00924DA2" w:rsidRPr="00093375" w:rsidRDefault="00924DA2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Zakon o proračunu NN br. 87/08, 136/12, 15/15, 144/21</w:t>
      </w:r>
    </w:p>
    <w:p w:rsidR="00962B08" w:rsidRPr="00093375" w:rsidRDefault="00924DA2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Pravilnik o proračunskom računovodstvu i računskom planu NN br. 124/14, 115/15, 87/16, 3/18, 108/2020</w:t>
      </w:r>
    </w:p>
    <w:p w:rsidR="00962B08" w:rsidRPr="00093375" w:rsidRDefault="00962B08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Proračun Zadarske županije</w:t>
      </w:r>
    </w:p>
    <w:p w:rsidR="00962B08" w:rsidRPr="00093375" w:rsidRDefault="00962B08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Odluka o izvršenju proračuna Zadarske županije</w:t>
      </w:r>
    </w:p>
    <w:p w:rsidR="00962B08" w:rsidRPr="00093375" w:rsidRDefault="00962B08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 xml:space="preserve">Upute za izradu prijedloga proračuna i financijskih planova upravnih tijela,    proračunskih i izvanproračunskih korisnika Zadarske županije za razdoblje </w:t>
      </w:r>
      <w:r w:rsidR="000D5F35" w:rsidRPr="00093375">
        <w:rPr>
          <w:rFonts w:ascii="Times New Roman" w:hAnsi="Times New Roman" w:cs="Times New Roman"/>
        </w:rPr>
        <w:t>202</w:t>
      </w:r>
      <w:r w:rsidR="00980297" w:rsidRPr="00093375">
        <w:rPr>
          <w:rFonts w:ascii="Times New Roman" w:hAnsi="Times New Roman" w:cs="Times New Roman"/>
        </w:rPr>
        <w:t>5</w:t>
      </w:r>
      <w:r w:rsidR="000D5F35" w:rsidRPr="00093375">
        <w:rPr>
          <w:rFonts w:ascii="Times New Roman" w:hAnsi="Times New Roman" w:cs="Times New Roman"/>
        </w:rPr>
        <w:t>. - 202</w:t>
      </w:r>
      <w:r w:rsidR="00980297" w:rsidRPr="00093375">
        <w:rPr>
          <w:rFonts w:ascii="Times New Roman" w:hAnsi="Times New Roman" w:cs="Times New Roman"/>
        </w:rPr>
        <w:t>7</w:t>
      </w:r>
      <w:r w:rsidRPr="00093375">
        <w:rPr>
          <w:rFonts w:ascii="Times New Roman" w:hAnsi="Times New Roman" w:cs="Times New Roman"/>
        </w:rPr>
        <w:t>. godine</w:t>
      </w:r>
    </w:p>
    <w:p w:rsidR="00962B08" w:rsidRPr="00093375" w:rsidRDefault="00093375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Go</w:t>
      </w:r>
      <w:r w:rsidR="00962B08" w:rsidRPr="00093375">
        <w:rPr>
          <w:rFonts w:ascii="Times New Roman" w:hAnsi="Times New Roman" w:cs="Times New Roman"/>
        </w:rPr>
        <w:t>dišnji plan i program rada za školsku godinu OŠ P</w:t>
      </w:r>
      <w:r w:rsidR="00AA22AF" w:rsidRPr="00093375">
        <w:rPr>
          <w:rFonts w:ascii="Times New Roman" w:hAnsi="Times New Roman" w:cs="Times New Roman"/>
        </w:rPr>
        <w:t xml:space="preserve">etar </w:t>
      </w:r>
      <w:proofErr w:type="spellStart"/>
      <w:r w:rsidR="00AA22AF" w:rsidRPr="00093375">
        <w:rPr>
          <w:rFonts w:ascii="Times New Roman" w:hAnsi="Times New Roman" w:cs="Times New Roman"/>
        </w:rPr>
        <w:t>Lorini</w:t>
      </w:r>
      <w:proofErr w:type="spellEnd"/>
      <w:r w:rsidR="00AA22AF" w:rsidRPr="00093375">
        <w:rPr>
          <w:rFonts w:ascii="Times New Roman" w:hAnsi="Times New Roman" w:cs="Times New Roman"/>
        </w:rPr>
        <w:t xml:space="preserve"> </w:t>
      </w:r>
      <w:r w:rsidR="00962B08" w:rsidRPr="00093375">
        <w:rPr>
          <w:rFonts w:ascii="Times New Roman" w:hAnsi="Times New Roman" w:cs="Times New Roman"/>
        </w:rPr>
        <w:t>za 20</w:t>
      </w:r>
      <w:r w:rsidR="00AA22AF" w:rsidRPr="00093375">
        <w:rPr>
          <w:rFonts w:ascii="Times New Roman" w:hAnsi="Times New Roman" w:cs="Times New Roman"/>
        </w:rPr>
        <w:t>2</w:t>
      </w:r>
      <w:r w:rsidR="00980297" w:rsidRPr="00093375">
        <w:rPr>
          <w:rFonts w:ascii="Times New Roman" w:hAnsi="Times New Roman" w:cs="Times New Roman"/>
        </w:rPr>
        <w:t>4</w:t>
      </w:r>
      <w:r w:rsidR="00C14A0C" w:rsidRPr="00093375">
        <w:rPr>
          <w:rFonts w:ascii="Times New Roman" w:hAnsi="Times New Roman" w:cs="Times New Roman"/>
        </w:rPr>
        <w:t>./202</w:t>
      </w:r>
      <w:r w:rsidR="00980297" w:rsidRPr="00093375">
        <w:rPr>
          <w:rFonts w:ascii="Times New Roman" w:hAnsi="Times New Roman" w:cs="Times New Roman"/>
        </w:rPr>
        <w:t>5</w:t>
      </w:r>
      <w:r w:rsidR="00962B08" w:rsidRPr="00093375">
        <w:rPr>
          <w:rFonts w:ascii="Times New Roman" w:hAnsi="Times New Roman" w:cs="Times New Roman"/>
        </w:rPr>
        <w:t>. godine</w:t>
      </w:r>
    </w:p>
    <w:p w:rsidR="00962B08" w:rsidRPr="00093375" w:rsidRDefault="00962B08" w:rsidP="00093375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93375">
        <w:rPr>
          <w:rFonts w:ascii="Times New Roman" w:hAnsi="Times New Roman" w:cs="Times New Roman"/>
        </w:rPr>
        <w:t>Školski kurikulum OŠ P</w:t>
      </w:r>
      <w:r w:rsidR="00AA22AF" w:rsidRPr="00093375">
        <w:rPr>
          <w:rFonts w:ascii="Times New Roman" w:hAnsi="Times New Roman" w:cs="Times New Roman"/>
        </w:rPr>
        <w:t xml:space="preserve">etar </w:t>
      </w:r>
      <w:proofErr w:type="spellStart"/>
      <w:r w:rsidR="00AA22AF" w:rsidRPr="00093375">
        <w:rPr>
          <w:rFonts w:ascii="Times New Roman" w:hAnsi="Times New Roman" w:cs="Times New Roman"/>
        </w:rPr>
        <w:t>Lorini</w:t>
      </w:r>
      <w:proofErr w:type="spellEnd"/>
      <w:r w:rsidRPr="00093375">
        <w:rPr>
          <w:rFonts w:ascii="Times New Roman" w:hAnsi="Times New Roman" w:cs="Times New Roman"/>
        </w:rPr>
        <w:t xml:space="preserve"> za 20</w:t>
      </w:r>
      <w:r w:rsidR="00AA22AF" w:rsidRPr="00093375">
        <w:rPr>
          <w:rFonts w:ascii="Times New Roman" w:hAnsi="Times New Roman" w:cs="Times New Roman"/>
        </w:rPr>
        <w:t>2</w:t>
      </w:r>
      <w:r w:rsidR="00980297" w:rsidRPr="00093375">
        <w:rPr>
          <w:rFonts w:ascii="Times New Roman" w:hAnsi="Times New Roman" w:cs="Times New Roman"/>
        </w:rPr>
        <w:t>4</w:t>
      </w:r>
      <w:r w:rsidR="004D6238" w:rsidRPr="00093375">
        <w:rPr>
          <w:rFonts w:ascii="Times New Roman" w:hAnsi="Times New Roman" w:cs="Times New Roman"/>
        </w:rPr>
        <w:t>./202</w:t>
      </w:r>
      <w:r w:rsidR="00980297" w:rsidRPr="00093375">
        <w:rPr>
          <w:rFonts w:ascii="Times New Roman" w:hAnsi="Times New Roman" w:cs="Times New Roman"/>
        </w:rPr>
        <w:t>5</w:t>
      </w:r>
      <w:r w:rsidRPr="00093375">
        <w:rPr>
          <w:rFonts w:ascii="Times New Roman" w:hAnsi="Times New Roman" w:cs="Times New Roman"/>
        </w:rPr>
        <w:t xml:space="preserve">. </w:t>
      </w:r>
      <w:r w:rsidR="00093375">
        <w:rPr>
          <w:rFonts w:ascii="Times New Roman" w:hAnsi="Times New Roman" w:cs="Times New Roman"/>
        </w:rPr>
        <w:t>g</w:t>
      </w:r>
      <w:r w:rsidRPr="00093375">
        <w:rPr>
          <w:rFonts w:ascii="Times New Roman" w:hAnsi="Times New Roman" w:cs="Times New Roman"/>
        </w:rPr>
        <w:t>odine</w:t>
      </w:r>
    </w:p>
    <w:p w:rsidR="004D6238" w:rsidRDefault="004D6238" w:rsidP="00924DA2">
      <w:pPr>
        <w:ind w:left="360"/>
        <w:jc w:val="both"/>
      </w:pPr>
    </w:p>
    <w:p w:rsidR="004D6238" w:rsidRDefault="004D6238" w:rsidP="00962B08">
      <w:pPr>
        <w:ind w:left="360"/>
        <w:jc w:val="both"/>
      </w:pPr>
    </w:p>
    <w:p w:rsidR="004D6238" w:rsidRDefault="004D6238" w:rsidP="00962B08">
      <w:pPr>
        <w:ind w:left="360"/>
        <w:jc w:val="both"/>
      </w:pPr>
    </w:p>
    <w:p w:rsidR="004D6238" w:rsidRDefault="004D6238" w:rsidP="004D6238">
      <w:pPr>
        <w:jc w:val="both"/>
        <w:rPr>
          <w:b/>
          <w:sz w:val="28"/>
          <w:szCs w:val="28"/>
        </w:rPr>
      </w:pPr>
      <w:r w:rsidRPr="00D9320B">
        <w:rPr>
          <w:b/>
          <w:sz w:val="28"/>
          <w:szCs w:val="28"/>
        </w:rPr>
        <w:t>Usklađenost ciljeva, strategija i programa s dokumentima dugoročnog razvoja</w:t>
      </w:r>
    </w:p>
    <w:p w:rsidR="004D6238" w:rsidRDefault="004D6238" w:rsidP="004D6238">
      <w:pPr>
        <w:jc w:val="both"/>
        <w:rPr>
          <w:b/>
        </w:rPr>
      </w:pPr>
    </w:p>
    <w:p w:rsidR="004D6238" w:rsidRDefault="004D6238" w:rsidP="004D6238">
      <w:pPr>
        <w:jc w:val="both"/>
      </w:pPr>
      <w:r>
        <w:t>Školske ustanove donose godišnje operativne planove (godišnji izvedbeni odgojno- obrazovni plan i program rada za školsku godinu 202</w:t>
      </w:r>
      <w:r w:rsidR="00980297">
        <w:t>4</w:t>
      </w:r>
      <w:r>
        <w:t>./202</w:t>
      </w:r>
      <w:r w:rsidR="00980297">
        <w:t>5</w:t>
      </w:r>
      <w:r>
        <w:t>. i školski kurikulum) prema planu i programu koje je donijelo Ministarstvo znanosti, obrazovanja i sporta.</w:t>
      </w:r>
    </w:p>
    <w:p w:rsidR="004D6238" w:rsidRDefault="004D6238" w:rsidP="004D6238">
      <w:pPr>
        <w:jc w:val="both"/>
      </w:pPr>
    </w:p>
    <w:p w:rsidR="004D6238" w:rsidRDefault="004D6238" w:rsidP="004D6238">
      <w:pPr>
        <w:jc w:val="both"/>
      </w:pPr>
      <w:r>
        <w:t>Strateške planove donose: Ministarstvo znanosti, obrazovanja i sporta te županije. Vertikalna usklađenja ciljeva i programa Ministarstva znanosti, obrazovanja i sporta odnosno županija s ciljevima i programima škola još nisu provedena.</w:t>
      </w:r>
    </w:p>
    <w:p w:rsidR="004D6238" w:rsidRDefault="004D6238" w:rsidP="004D6238">
      <w:pPr>
        <w:jc w:val="both"/>
      </w:pPr>
    </w:p>
    <w:p w:rsidR="004D6238" w:rsidRPr="00FB4062" w:rsidRDefault="004D6238" w:rsidP="004D6238">
      <w:pPr>
        <w:jc w:val="both"/>
      </w:pPr>
      <w:r>
        <w:t>Također, planovi se donose za školsku, a ne fiskalnu godinu. To je uzrok mnogim odstupanjima u izvršenju financijskih planova, na primjer, pomak određenih aktivnosti unutar školske godine  iz jednog polugodišta u drugo uzrokuje promjene u izvršenju financijskog plana za dvije fiskalne godine.</w:t>
      </w:r>
    </w:p>
    <w:p w:rsidR="004D6238" w:rsidRPr="00676564" w:rsidRDefault="004D6238" w:rsidP="004D6238">
      <w:pPr>
        <w:jc w:val="both"/>
      </w:pPr>
    </w:p>
    <w:p w:rsidR="004D6238" w:rsidRDefault="004D6238" w:rsidP="004D6238">
      <w:pPr>
        <w:jc w:val="both"/>
        <w:rPr>
          <w:b/>
          <w:sz w:val="28"/>
          <w:szCs w:val="28"/>
        </w:rPr>
      </w:pPr>
    </w:p>
    <w:p w:rsidR="004D6238" w:rsidRDefault="004D6238" w:rsidP="004D6238">
      <w:pPr>
        <w:jc w:val="both"/>
        <w:rPr>
          <w:b/>
          <w:sz w:val="28"/>
          <w:szCs w:val="28"/>
        </w:rPr>
      </w:pPr>
    </w:p>
    <w:p w:rsidR="00F55EE3" w:rsidRDefault="00F55EE3" w:rsidP="004D6238">
      <w:pPr>
        <w:jc w:val="both"/>
        <w:rPr>
          <w:b/>
          <w:sz w:val="28"/>
          <w:szCs w:val="28"/>
        </w:rPr>
      </w:pPr>
    </w:p>
    <w:p w:rsidR="00F50C0A" w:rsidRDefault="00F50C0A" w:rsidP="004D6238">
      <w:pPr>
        <w:jc w:val="both"/>
        <w:rPr>
          <w:b/>
          <w:sz w:val="28"/>
          <w:szCs w:val="28"/>
        </w:rPr>
      </w:pPr>
    </w:p>
    <w:p w:rsidR="004D6238" w:rsidRDefault="004D6238" w:rsidP="004D6238">
      <w:pPr>
        <w:jc w:val="both"/>
        <w:rPr>
          <w:b/>
          <w:sz w:val="28"/>
          <w:szCs w:val="28"/>
        </w:rPr>
      </w:pPr>
      <w:r w:rsidRPr="00D9320B">
        <w:rPr>
          <w:b/>
          <w:sz w:val="28"/>
          <w:szCs w:val="28"/>
        </w:rPr>
        <w:lastRenderedPageBreak/>
        <w:t>Cilj provedbe programa u razdoblju 20</w:t>
      </w:r>
      <w:r>
        <w:rPr>
          <w:b/>
          <w:sz w:val="28"/>
          <w:szCs w:val="28"/>
        </w:rPr>
        <w:t>2</w:t>
      </w:r>
      <w:r w:rsidR="00980297">
        <w:rPr>
          <w:b/>
          <w:sz w:val="28"/>
          <w:szCs w:val="28"/>
        </w:rPr>
        <w:t>5</w:t>
      </w:r>
      <w:r w:rsidRPr="00D9320B">
        <w:rPr>
          <w:b/>
          <w:sz w:val="28"/>
          <w:szCs w:val="28"/>
        </w:rPr>
        <w:t>.-202</w:t>
      </w:r>
      <w:r w:rsidR="00980297">
        <w:rPr>
          <w:b/>
          <w:sz w:val="28"/>
          <w:szCs w:val="28"/>
        </w:rPr>
        <w:t>7</w:t>
      </w:r>
      <w:r w:rsidRPr="00D9320B">
        <w:rPr>
          <w:b/>
          <w:sz w:val="28"/>
          <w:szCs w:val="28"/>
        </w:rPr>
        <w:t>. i pokazatelji uspješnosti kojima će se mjeriti ostvarenje tih ciljeva</w:t>
      </w:r>
    </w:p>
    <w:p w:rsidR="004D6238" w:rsidRPr="00F91DAA" w:rsidRDefault="004D6238" w:rsidP="004D6238">
      <w:pPr>
        <w:jc w:val="both"/>
      </w:pPr>
    </w:p>
    <w:p w:rsidR="004D6238" w:rsidRPr="009143BE" w:rsidRDefault="004D6238" w:rsidP="004D6238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F3B">
        <w:rPr>
          <w:rFonts w:ascii="Times New Roman" w:hAnsi="Times New Roman" w:cs="Times New Roman"/>
          <w:i/>
          <w:sz w:val="24"/>
          <w:szCs w:val="24"/>
        </w:rPr>
        <w:t>Pokazatelji uspješnosti</w:t>
      </w:r>
    </w:p>
    <w:p w:rsidR="004D6238" w:rsidRDefault="004D6238" w:rsidP="004D6238">
      <w:pPr>
        <w:jc w:val="both"/>
        <w:rPr>
          <w:b/>
        </w:rPr>
      </w:pPr>
    </w:p>
    <w:tbl>
      <w:tblPr>
        <w:tblW w:w="10716" w:type="dxa"/>
        <w:tblInd w:w="-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570"/>
        <w:gridCol w:w="1570"/>
        <w:gridCol w:w="1570"/>
        <w:gridCol w:w="1571"/>
        <w:gridCol w:w="1427"/>
        <w:gridCol w:w="1570"/>
      </w:tblGrid>
      <w:tr w:rsidR="004D6238" w:rsidTr="00F10F5F">
        <w:trPr>
          <w:trHeight w:hRule="exact" w:val="88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238" w:rsidRDefault="004D6238" w:rsidP="00F10F5F">
            <w:pPr>
              <w:spacing w:line="266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Pokazatelj</w:t>
            </w:r>
            <w:proofErr w:type="spellEnd"/>
          </w:p>
          <w:p w:rsidR="004D6238" w:rsidRPr="00100056" w:rsidRDefault="004D6238" w:rsidP="00F10F5F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238" w:rsidRDefault="004D6238" w:rsidP="00F10F5F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</w:p>
          <w:p w:rsidR="004D6238" w:rsidRPr="00100056" w:rsidRDefault="004D6238" w:rsidP="00F10F5F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Definicija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238" w:rsidRPr="00100056" w:rsidRDefault="004D6238" w:rsidP="00F10F5F">
            <w:pPr>
              <w:spacing w:line="266" w:lineRule="exact"/>
              <w:ind w:left="240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Jedinica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D6238" w:rsidRPr="00100056" w:rsidRDefault="004D6238" w:rsidP="00F10F5F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Polazna</w:t>
            </w:r>
            <w:proofErr w:type="spellEnd"/>
          </w:p>
          <w:p w:rsidR="004D6238" w:rsidRPr="00100056" w:rsidRDefault="004D6238" w:rsidP="00F10F5F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D6238" w:rsidRPr="00100056" w:rsidRDefault="004D6238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4D6238" w:rsidRPr="00100056" w:rsidRDefault="004D6238" w:rsidP="00F10F5F">
            <w:pPr>
              <w:spacing w:line="250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4D6238" w:rsidRPr="00100056" w:rsidRDefault="004D6238" w:rsidP="00980297">
            <w:pPr>
              <w:spacing w:line="250" w:lineRule="exact"/>
              <w:jc w:val="center"/>
            </w:pPr>
            <w:r w:rsidRPr="00100056">
              <w:t>(20</w:t>
            </w:r>
            <w:r>
              <w:t>2</w:t>
            </w:r>
            <w:r w:rsidR="00980297">
              <w:t>5</w:t>
            </w:r>
            <w:r w:rsidRPr="00100056">
              <w:t>.)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D6238" w:rsidRPr="00100056" w:rsidRDefault="004D6238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4D6238" w:rsidRPr="00100056" w:rsidRDefault="004D6238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4D6238" w:rsidRPr="00100056" w:rsidRDefault="004D6238" w:rsidP="00980297">
            <w:pPr>
              <w:spacing w:line="250" w:lineRule="exact"/>
              <w:jc w:val="center"/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980297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6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238" w:rsidRPr="00100056" w:rsidRDefault="004D6238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4D6238" w:rsidRPr="00100056" w:rsidRDefault="004D6238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4D6238" w:rsidRPr="00100056" w:rsidRDefault="004D6238" w:rsidP="00980297">
            <w:pPr>
              <w:spacing w:line="250" w:lineRule="exact"/>
              <w:jc w:val="center"/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980297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7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</w:tr>
      <w:tr w:rsidR="004D6238" w:rsidTr="00F10F5F">
        <w:trPr>
          <w:trHeight w:hRule="exact" w:val="213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10F5F">
              <w:rPr>
                <w:sz w:val="22"/>
                <w:szCs w:val="22"/>
              </w:rPr>
              <w:t>Povećanje broja školskih projekata/ priredbi/ manifestacija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10F5F">
              <w:rPr>
                <w:sz w:val="22"/>
                <w:szCs w:val="22"/>
              </w:rPr>
              <w:t>Kroz ovakve aktivnosti učenike se potiče na izražavanje kreativnosti, talenata i sposobnosti.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4D6238" w:rsidRPr="00F10F5F" w:rsidRDefault="004D6238" w:rsidP="005665F4">
            <w:pPr>
              <w:spacing w:line="250" w:lineRule="exact"/>
              <w:rPr>
                <w:sz w:val="22"/>
                <w:szCs w:val="22"/>
              </w:rPr>
            </w:pPr>
          </w:p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10F5F">
              <w:rPr>
                <w:sz w:val="22"/>
                <w:szCs w:val="22"/>
              </w:rPr>
              <w:t>Broj</w:t>
            </w:r>
          </w:p>
          <w:p w:rsidR="004D6238" w:rsidRPr="00F10F5F" w:rsidRDefault="004D6238" w:rsidP="005665F4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6238" w:rsidRPr="00F10F5F" w:rsidRDefault="004D6238" w:rsidP="005665F4">
            <w:pPr>
              <w:spacing w:line="266" w:lineRule="exact"/>
              <w:jc w:val="center"/>
              <w:rPr>
                <w:sz w:val="22"/>
                <w:szCs w:val="22"/>
              </w:rPr>
            </w:pPr>
            <w:r w:rsidRPr="00F10F5F">
              <w:rPr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6238" w:rsidRPr="00F10F5F" w:rsidRDefault="00021681" w:rsidP="005665F4">
            <w:pPr>
              <w:spacing w:line="26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6238" w:rsidRPr="00F10F5F" w:rsidRDefault="00021681" w:rsidP="005665F4">
            <w:pPr>
              <w:spacing w:line="26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238" w:rsidRPr="00F10F5F" w:rsidRDefault="00021681" w:rsidP="005665F4">
            <w:pPr>
              <w:spacing w:line="26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4D6238" w:rsidRDefault="004D6238" w:rsidP="004D6238">
      <w:pPr>
        <w:jc w:val="both"/>
        <w:rPr>
          <w:b/>
        </w:rPr>
      </w:pPr>
    </w:p>
    <w:p w:rsidR="004D6238" w:rsidRDefault="004D6238" w:rsidP="004D6238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-10"/>
        <w:tblW w:w="10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559"/>
        <w:gridCol w:w="1559"/>
        <w:gridCol w:w="1559"/>
        <w:gridCol w:w="1560"/>
        <w:gridCol w:w="1417"/>
        <w:gridCol w:w="1559"/>
      </w:tblGrid>
      <w:tr w:rsidR="00F50C0A" w:rsidTr="00F10F5F">
        <w:trPr>
          <w:trHeight w:hRule="exact" w:val="93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C0A" w:rsidRDefault="00F50C0A" w:rsidP="00F50C0A">
            <w:pPr>
              <w:spacing w:line="266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Pokazatelj</w:t>
            </w:r>
            <w:proofErr w:type="spellEnd"/>
          </w:p>
          <w:p w:rsidR="00F50C0A" w:rsidRPr="00100056" w:rsidRDefault="00F50C0A" w:rsidP="00F50C0A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C0A" w:rsidRDefault="00F50C0A" w:rsidP="00F50C0A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</w:p>
          <w:p w:rsidR="00F50C0A" w:rsidRPr="00100056" w:rsidRDefault="00F50C0A" w:rsidP="00F50C0A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Definicija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C0A" w:rsidRPr="00100056" w:rsidRDefault="00F50C0A" w:rsidP="00F50C0A">
            <w:pPr>
              <w:spacing w:line="266" w:lineRule="exact"/>
              <w:ind w:left="240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Jedinica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50C0A" w:rsidRPr="00100056" w:rsidRDefault="00F50C0A" w:rsidP="00F50C0A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Polazna</w:t>
            </w:r>
            <w:proofErr w:type="spellEnd"/>
          </w:p>
          <w:p w:rsidR="00F50C0A" w:rsidRPr="00100056" w:rsidRDefault="00F50C0A" w:rsidP="00F50C0A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50C0A" w:rsidRPr="00100056" w:rsidRDefault="00F50C0A" w:rsidP="00F50C0A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50C0A" w:rsidRPr="00100056" w:rsidRDefault="00F50C0A" w:rsidP="00F50C0A">
            <w:pPr>
              <w:spacing w:line="250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50C0A" w:rsidRPr="00100056" w:rsidRDefault="00F50C0A" w:rsidP="00F50C0A">
            <w:pPr>
              <w:spacing w:line="250" w:lineRule="exact"/>
              <w:jc w:val="center"/>
            </w:pPr>
            <w:r w:rsidRPr="00100056">
              <w:t>(20</w:t>
            </w:r>
            <w:r>
              <w:t>2</w:t>
            </w:r>
            <w:r w:rsidR="00980297">
              <w:t>5</w:t>
            </w:r>
            <w:r w:rsidRPr="00100056">
              <w:t>.)</w:t>
            </w:r>
          </w:p>
          <w:p w:rsidR="00F50C0A" w:rsidRPr="00100056" w:rsidRDefault="00F50C0A" w:rsidP="00F50C0A">
            <w:pPr>
              <w:spacing w:line="25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50C0A" w:rsidRPr="00100056" w:rsidRDefault="00F50C0A" w:rsidP="00F50C0A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50C0A" w:rsidRPr="00100056" w:rsidRDefault="00F50C0A" w:rsidP="00F50C0A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50C0A" w:rsidRPr="00100056" w:rsidRDefault="00F50C0A" w:rsidP="00980297">
            <w:pPr>
              <w:spacing w:line="250" w:lineRule="exact"/>
              <w:jc w:val="center"/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980297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6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C0A" w:rsidRPr="00100056" w:rsidRDefault="00F50C0A" w:rsidP="00F50C0A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50C0A" w:rsidRPr="00100056" w:rsidRDefault="00F50C0A" w:rsidP="00F50C0A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50C0A" w:rsidRPr="00100056" w:rsidRDefault="00F50C0A" w:rsidP="00980297">
            <w:pPr>
              <w:spacing w:line="250" w:lineRule="exact"/>
              <w:jc w:val="center"/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980297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7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</w:tr>
      <w:tr w:rsidR="00F50C0A" w:rsidTr="00F10F5F">
        <w:trPr>
          <w:trHeight w:hRule="exact" w:val="269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C0A" w:rsidRDefault="00F50C0A" w:rsidP="00F50C0A">
            <w:pPr>
              <w:spacing w:line="250" w:lineRule="exact"/>
              <w:jc w:val="center"/>
            </w:pPr>
          </w:p>
          <w:p w:rsidR="00F50C0A" w:rsidRPr="00F50C0A" w:rsidRDefault="00F50C0A" w:rsidP="00F50C0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50C0A">
              <w:rPr>
                <w:sz w:val="22"/>
                <w:szCs w:val="22"/>
              </w:rPr>
              <w:t>Povećanje broja učenika koji su uključeni u različite školske projekte/ priredbe/manifestacije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C0A" w:rsidRPr="00F50C0A" w:rsidRDefault="00F50C0A" w:rsidP="00F50C0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50C0A">
              <w:rPr>
                <w:sz w:val="22"/>
                <w:szCs w:val="22"/>
              </w:rPr>
              <w:t>Učenike se potiče na izražavanje kreativnosti, talenata i sposobnosti.</w:t>
            </w:r>
          </w:p>
          <w:p w:rsidR="00F50C0A" w:rsidRDefault="00F50C0A" w:rsidP="00F50C0A">
            <w:pPr>
              <w:spacing w:line="250" w:lineRule="exact"/>
              <w:jc w:val="center"/>
            </w:pPr>
            <w:r w:rsidRPr="00F50C0A">
              <w:rPr>
                <w:sz w:val="22"/>
                <w:szCs w:val="22"/>
              </w:rPr>
              <w:t>Kroz ovakve aktivnosti testira se i kvaliteta rada nastavnika.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C0A" w:rsidRPr="0056679C" w:rsidRDefault="00F50C0A" w:rsidP="00F50C0A">
            <w:pPr>
              <w:spacing w:line="250" w:lineRule="exact"/>
              <w:jc w:val="center"/>
              <w:rPr>
                <w:highlight w:val="yellow"/>
              </w:rPr>
            </w:pPr>
          </w:p>
          <w:p w:rsidR="00F50C0A" w:rsidRPr="0056679C" w:rsidRDefault="00F50C0A" w:rsidP="00F50C0A">
            <w:pPr>
              <w:spacing w:line="250" w:lineRule="exact"/>
              <w:jc w:val="center"/>
              <w:rPr>
                <w:highlight w:val="yellow"/>
              </w:rPr>
            </w:pPr>
          </w:p>
          <w:p w:rsidR="00F50C0A" w:rsidRPr="0056679C" w:rsidRDefault="00F50C0A" w:rsidP="00F50C0A">
            <w:pPr>
              <w:spacing w:line="250" w:lineRule="exact"/>
              <w:rPr>
                <w:highlight w:val="yellow"/>
              </w:rPr>
            </w:pPr>
          </w:p>
          <w:p w:rsidR="00F50C0A" w:rsidRPr="0056679C" w:rsidRDefault="00F50C0A" w:rsidP="00021681">
            <w:pPr>
              <w:spacing w:line="250" w:lineRule="exact"/>
              <w:jc w:val="center"/>
              <w:rPr>
                <w:highlight w:val="yellow"/>
              </w:rPr>
            </w:pPr>
            <w:r w:rsidRPr="00021681">
              <w:t>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0C0A" w:rsidRPr="00021681" w:rsidRDefault="00980297" w:rsidP="00021681">
            <w:pPr>
              <w:spacing w:line="266" w:lineRule="exact"/>
              <w:jc w:val="center"/>
            </w:pPr>
            <w:r w:rsidRPr="00021681"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0C0A" w:rsidRPr="00021681" w:rsidRDefault="00021681" w:rsidP="00021681">
            <w:pPr>
              <w:spacing w:line="266" w:lineRule="exact"/>
              <w:jc w:val="center"/>
            </w:pPr>
            <w:r w:rsidRPr="00021681"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0C0A" w:rsidRPr="00021681" w:rsidRDefault="00021681" w:rsidP="00021681">
            <w:pPr>
              <w:spacing w:line="266" w:lineRule="exact"/>
              <w:jc w:val="center"/>
            </w:pPr>
            <w:r w:rsidRPr="00021681"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C0A" w:rsidRPr="00021681" w:rsidRDefault="00021681" w:rsidP="00021681">
            <w:pPr>
              <w:spacing w:line="266" w:lineRule="exact"/>
              <w:jc w:val="center"/>
            </w:pPr>
            <w:r w:rsidRPr="00021681">
              <w:t>75</w:t>
            </w:r>
          </w:p>
        </w:tc>
      </w:tr>
    </w:tbl>
    <w:p w:rsidR="004D6238" w:rsidRDefault="004D6238" w:rsidP="004D6238">
      <w:pPr>
        <w:jc w:val="both"/>
        <w:rPr>
          <w:b/>
        </w:rPr>
      </w:pPr>
    </w:p>
    <w:p w:rsidR="004D6238" w:rsidRDefault="004D6238" w:rsidP="004D6238">
      <w:pPr>
        <w:jc w:val="both"/>
        <w:rPr>
          <w:b/>
        </w:rPr>
      </w:pPr>
    </w:p>
    <w:tbl>
      <w:tblPr>
        <w:tblpPr w:leftFromText="180" w:rightFromText="180" w:vertAnchor="text" w:horzAnchor="margin" w:tblpXSpec="center" w:tblpY="164"/>
        <w:tblW w:w="10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509"/>
        <w:gridCol w:w="1509"/>
        <w:gridCol w:w="1509"/>
        <w:gridCol w:w="1510"/>
        <w:gridCol w:w="1371"/>
        <w:gridCol w:w="1509"/>
      </w:tblGrid>
      <w:tr w:rsidR="00F10F5F" w:rsidRPr="00100056" w:rsidTr="0056679C">
        <w:trPr>
          <w:trHeight w:hRule="exact" w:val="1009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F5F" w:rsidRDefault="00F10F5F" w:rsidP="00F10F5F">
            <w:pPr>
              <w:spacing w:line="266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Pokazatelj</w:t>
            </w:r>
            <w:proofErr w:type="spellEnd"/>
          </w:p>
          <w:p w:rsidR="00F10F5F" w:rsidRPr="00100056" w:rsidRDefault="00F10F5F" w:rsidP="00F10F5F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F5F" w:rsidRDefault="00F10F5F" w:rsidP="00F10F5F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</w:p>
          <w:p w:rsidR="00F10F5F" w:rsidRPr="00100056" w:rsidRDefault="00F10F5F" w:rsidP="00F10F5F">
            <w:pPr>
              <w:spacing w:line="266" w:lineRule="exact"/>
              <w:ind w:left="240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Definicija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0F5F" w:rsidRPr="00100056" w:rsidRDefault="00F10F5F" w:rsidP="00F10F5F">
            <w:pPr>
              <w:spacing w:line="266" w:lineRule="exact"/>
              <w:ind w:left="240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Jedinica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10F5F" w:rsidRPr="00100056" w:rsidRDefault="00F10F5F" w:rsidP="00F10F5F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Polazna</w:t>
            </w:r>
            <w:proofErr w:type="spellEnd"/>
          </w:p>
          <w:p w:rsidR="00F10F5F" w:rsidRPr="00100056" w:rsidRDefault="00F10F5F" w:rsidP="00F10F5F">
            <w:pPr>
              <w:spacing w:line="266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10F5F" w:rsidRPr="00100056" w:rsidRDefault="00F10F5F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10F5F" w:rsidRPr="00100056" w:rsidRDefault="00F10F5F" w:rsidP="00F10F5F">
            <w:pPr>
              <w:spacing w:line="250" w:lineRule="exact"/>
              <w:jc w:val="center"/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10F5F" w:rsidRPr="00100056" w:rsidRDefault="00F10F5F" w:rsidP="00980297">
            <w:pPr>
              <w:spacing w:line="250" w:lineRule="exact"/>
              <w:jc w:val="center"/>
            </w:pPr>
            <w:r w:rsidRPr="00100056">
              <w:t>(20</w:t>
            </w:r>
            <w:r>
              <w:t>2</w:t>
            </w:r>
            <w:r w:rsidR="00980297">
              <w:t>5</w:t>
            </w:r>
            <w:r w:rsidRPr="00100056">
              <w:t>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F10F5F" w:rsidRPr="00100056" w:rsidRDefault="00F10F5F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10F5F" w:rsidRPr="00100056" w:rsidRDefault="00F10F5F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10F5F" w:rsidRPr="00100056" w:rsidRDefault="00F10F5F" w:rsidP="00980297">
            <w:pPr>
              <w:spacing w:line="250" w:lineRule="exact"/>
              <w:jc w:val="center"/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980297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6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0F5F" w:rsidRPr="00100056" w:rsidRDefault="00F10F5F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Ciljana</w:t>
            </w:r>
            <w:proofErr w:type="spellEnd"/>
          </w:p>
          <w:p w:rsidR="00F10F5F" w:rsidRPr="00100056" w:rsidRDefault="00F10F5F" w:rsidP="00F10F5F">
            <w:pPr>
              <w:spacing w:line="250" w:lineRule="exact"/>
              <w:jc w:val="center"/>
            </w:pPr>
            <w:proofErr w:type="spellStart"/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vrijednost</w:t>
            </w:r>
            <w:proofErr w:type="spellEnd"/>
          </w:p>
          <w:p w:rsidR="00F10F5F" w:rsidRPr="00100056" w:rsidRDefault="00F10F5F" w:rsidP="00980297">
            <w:pPr>
              <w:spacing w:line="250" w:lineRule="exact"/>
              <w:jc w:val="center"/>
            </w:pP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(20</w:t>
            </w:r>
            <w:r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2</w:t>
            </w:r>
            <w:r w:rsidR="00980297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7</w:t>
            </w:r>
            <w:r w:rsidRPr="00100056">
              <w:rPr>
                <w:rStyle w:val="MSGENFONTSTYLENAMETEMPLATEROLENUMBERMSGENFONTSTYLENAMEBYROLETEXT2"/>
                <w:rFonts w:eastAsiaTheme="minorHAnsi"/>
                <w:sz w:val="22"/>
                <w:szCs w:val="22"/>
              </w:rPr>
              <w:t>.)</w:t>
            </w:r>
          </w:p>
        </w:tc>
      </w:tr>
      <w:tr w:rsidR="00F10F5F" w:rsidRPr="00100056" w:rsidTr="00F10F5F">
        <w:trPr>
          <w:trHeight w:hRule="exact" w:val="287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5F" w:rsidRPr="00F10F5F" w:rsidRDefault="00F10F5F" w:rsidP="00F10F5F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10F5F">
              <w:rPr>
                <w:sz w:val="22"/>
                <w:szCs w:val="22"/>
              </w:rPr>
              <w:t>Povećanje broja osvojenih mjesta (prva tri) na županijskim i državnim natjecanjima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5F" w:rsidRPr="00F10F5F" w:rsidRDefault="00F10F5F" w:rsidP="00F10F5F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F10F5F">
              <w:rPr>
                <w:sz w:val="22"/>
                <w:szCs w:val="22"/>
              </w:rPr>
              <w:t>Uz to što se učenike potiče na izražavanje sposobnosti,  kroz ovakve aktivnosti testira se i kvaliteta rada nastavnika s nadarenim učenicima.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5F" w:rsidRPr="00BA6D8E" w:rsidRDefault="00F10F5F" w:rsidP="00F10F5F">
            <w:pPr>
              <w:spacing w:line="250" w:lineRule="exact"/>
              <w:jc w:val="center"/>
            </w:pPr>
          </w:p>
          <w:p w:rsidR="00F10F5F" w:rsidRPr="00BA6D8E" w:rsidRDefault="00F10F5F" w:rsidP="00F10F5F">
            <w:pPr>
              <w:spacing w:line="250" w:lineRule="exact"/>
              <w:jc w:val="center"/>
            </w:pPr>
          </w:p>
          <w:p w:rsidR="00F10F5F" w:rsidRPr="00BA6D8E" w:rsidRDefault="00F10F5F" w:rsidP="00F10F5F">
            <w:pPr>
              <w:spacing w:line="250" w:lineRule="exact"/>
              <w:jc w:val="center"/>
            </w:pPr>
          </w:p>
          <w:p w:rsidR="00F10F5F" w:rsidRPr="00BA6D8E" w:rsidRDefault="00F10F5F" w:rsidP="00F10F5F">
            <w:pPr>
              <w:spacing w:line="250" w:lineRule="exact"/>
              <w:jc w:val="center"/>
            </w:pPr>
            <w:r w:rsidRPr="00BA6D8E">
              <w:t>Broj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F5F" w:rsidRPr="00BA6D8E" w:rsidRDefault="00F10F5F" w:rsidP="00F10F5F">
            <w:pPr>
              <w:spacing w:line="266" w:lineRule="exact"/>
              <w:jc w:val="center"/>
            </w:pPr>
            <w:r w:rsidRPr="00BA6D8E"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F5F" w:rsidRPr="00BA6D8E" w:rsidRDefault="00137FEE" w:rsidP="00F10F5F">
            <w:pPr>
              <w:spacing w:line="266" w:lineRule="exact"/>
              <w:jc w:val="center"/>
            </w:pPr>
            <w:r w:rsidRPr="00BA6D8E"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F5F" w:rsidRPr="00BA6D8E" w:rsidRDefault="00137FEE" w:rsidP="00F10F5F">
            <w:pPr>
              <w:spacing w:line="266" w:lineRule="exact"/>
              <w:jc w:val="center"/>
            </w:pPr>
            <w:r w:rsidRPr="00BA6D8E"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F5F" w:rsidRPr="00BA6D8E" w:rsidRDefault="00137FEE" w:rsidP="00F10F5F">
            <w:pPr>
              <w:spacing w:line="266" w:lineRule="exact"/>
              <w:jc w:val="center"/>
            </w:pPr>
            <w:r w:rsidRPr="00BA6D8E">
              <w:t>3</w:t>
            </w:r>
          </w:p>
        </w:tc>
      </w:tr>
    </w:tbl>
    <w:p w:rsidR="004D6238" w:rsidRDefault="004D6238" w:rsidP="004D6238">
      <w:pPr>
        <w:jc w:val="both"/>
      </w:pPr>
      <w:r w:rsidRPr="004402D6">
        <w:lastRenderedPageBreak/>
        <w:t xml:space="preserve">Pokazatelji uspješnosti koji će </w:t>
      </w:r>
      <w:r>
        <w:t xml:space="preserve">prikazati ostvarenje obrazovnih i odgojnih </w:t>
      </w:r>
      <w:r w:rsidRPr="004402D6">
        <w:t xml:space="preserve">ciljeva u trogodišnjem razdoblju biti će dobiveni analizom uspjeha učenika u nastavnim programima. Cilj koji se želi postići je manji broj negativnih ocjena, veći broj učenika uključenih u školske projekte i sudjelovanje većeg broja učenika na županijskim i državnim natjecanjima. </w:t>
      </w:r>
      <w:r>
        <w:t xml:space="preserve"> Poticanje i razvoj pozitivnih vrijednosti i natjecateljskog duha, smanjenje neopravdanih izostanaka i manji broj izrečenih pedagoških mjera.</w:t>
      </w:r>
    </w:p>
    <w:p w:rsidR="004D6238" w:rsidRDefault="004D6238" w:rsidP="004D6238">
      <w:pPr>
        <w:jc w:val="both"/>
      </w:pPr>
    </w:p>
    <w:p w:rsidR="004D6238" w:rsidRDefault="004D6238" w:rsidP="004D6238">
      <w:pPr>
        <w:jc w:val="both"/>
      </w:pPr>
      <w:r>
        <w:t>Rezultati koji se očekuju: bolji uspjeh učenika, manji broj negativnih ocjena i bolji uspjeh učenika na natjecanjima.</w:t>
      </w:r>
    </w:p>
    <w:p w:rsidR="004D6238" w:rsidRDefault="004D6238" w:rsidP="004D6238">
      <w:pPr>
        <w:jc w:val="both"/>
      </w:pPr>
    </w:p>
    <w:p w:rsidR="004D6238" w:rsidRDefault="004D6238" w:rsidP="004D6238">
      <w:pPr>
        <w:jc w:val="both"/>
      </w:pPr>
      <w:r>
        <w:t>Učinci koji se očekuju: stručnim usavršavanjem učitelja i stručnih suradnika, poticanjem kvalitetnije komunikacije između učenika, nastavnika, stručnih suradnika i roditelja poboljšati odgojno obrazovni proces. A sve radi lakšeg uočavanje i rješavanje problema, smanjenje svih oblika vršnjačkog nasilja, stvaranje svijesti o vrijednosti učenja te kvalitetnije pripreme za život.</w:t>
      </w:r>
    </w:p>
    <w:p w:rsidR="004D6238" w:rsidRDefault="004D6238" w:rsidP="004D6238">
      <w:pPr>
        <w:jc w:val="both"/>
      </w:pPr>
    </w:p>
    <w:p w:rsidR="001E0C52" w:rsidRPr="00962B08" w:rsidRDefault="004D6238" w:rsidP="00962B08">
      <w:pPr>
        <w:jc w:val="both"/>
      </w:pPr>
      <w:r w:rsidRPr="00A21547">
        <w:t xml:space="preserve">Tijekom školske godine </w:t>
      </w:r>
      <w:r w:rsidR="0056679C">
        <w:t>2024</w:t>
      </w:r>
      <w:r w:rsidRPr="00A21547">
        <w:t>./</w:t>
      </w:r>
      <w:r w:rsidR="0056679C">
        <w:t>2025</w:t>
      </w:r>
      <w:r w:rsidRPr="00A21547">
        <w:t>.</w:t>
      </w:r>
      <w:r w:rsidR="00437936" w:rsidRPr="00A21547">
        <w:t xml:space="preserve"> </w:t>
      </w:r>
      <w:r w:rsidR="00DF12E6" w:rsidRPr="00A21547">
        <w:t>os</w:t>
      </w:r>
      <w:r w:rsidR="00437936" w:rsidRPr="00A21547">
        <w:t xml:space="preserve">tvareni su svi </w:t>
      </w:r>
      <w:r w:rsidR="00DF12E6" w:rsidRPr="00A21547">
        <w:t xml:space="preserve">predviđeni Godišnjim planom i programom rada škole i školskim kurikulumom. </w:t>
      </w:r>
    </w:p>
    <w:p w:rsidR="005F16C4" w:rsidRPr="005F16C4" w:rsidRDefault="005F16C4" w:rsidP="005F16C4">
      <w:pPr>
        <w:jc w:val="both"/>
      </w:pPr>
    </w:p>
    <w:p w:rsidR="005F16C4" w:rsidRPr="006C36F0" w:rsidRDefault="005F16C4" w:rsidP="006C36F0">
      <w:pPr>
        <w:rPr>
          <w:b/>
          <w:sz w:val="28"/>
          <w:szCs w:val="28"/>
        </w:rPr>
      </w:pPr>
      <w:r w:rsidRPr="006C36F0">
        <w:rPr>
          <w:b/>
          <w:sz w:val="28"/>
          <w:szCs w:val="28"/>
        </w:rPr>
        <w:t>Procjena i ishodište potrebnih sredstava za značajnije aktivnosti/projekte</w:t>
      </w:r>
    </w:p>
    <w:p w:rsidR="005F16C4" w:rsidRPr="000F2AAD" w:rsidRDefault="005F16C4" w:rsidP="000F2AAD"/>
    <w:p w:rsidR="005F16C4" w:rsidRPr="0057187E" w:rsidRDefault="005F16C4" w:rsidP="000F2AAD">
      <w:pPr>
        <w:rPr>
          <w:b/>
        </w:rPr>
      </w:pPr>
      <w:r w:rsidRPr="0057187E">
        <w:rPr>
          <w:b/>
        </w:rPr>
        <w:t>Izvori sredstava za financiranje rada škole su:</w:t>
      </w:r>
    </w:p>
    <w:p w:rsidR="00B47945" w:rsidRPr="0057187E" w:rsidRDefault="005F16C4" w:rsidP="000F2AA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7187E">
        <w:rPr>
          <w:rFonts w:ascii="Times New Roman" w:hAnsi="Times New Roman" w:cs="Times New Roman"/>
          <w:b/>
          <w:sz w:val="24"/>
          <w:szCs w:val="24"/>
        </w:rPr>
        <w:t>Opći prihodi i primici, skupina 636, državni proračun za fi</w:t>
      </w:r>
      <w:r w:rsidR="00B47945" w:rsidRPr="0057187E">
        <w:rPr>
          <w:rFonts w:ascii="Times New Roman" w:hAnsi="Times New Roman" w:cs="Times New Roman"/>
          <w:b/>
          <w:sz w:val="24"/>
          <w:szCs w:val="24"/>
        </w:rPr>
        <w:t xml:space="preserve">nanciranje rashoda za zaposlene </w:t>
      </w:r>
    </w:p>
    <w:p w:rsidR="00B47945" w:rsidRPr="000F2AAD" w:rsidRDefault="00B47945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 xml:space="preserve">plaće i doprinosi; </w:t>
      </w:r>
    </w:p>
    <w:p w:rsidR="00B47945" w:rsidRPr="000F2AAD" w:rsidRDefault="00B47945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 xml:space="preserve">ostali rashodi za zaposlene - pomoći, dar za djecu, jubilarne nagrade, otpremnine, regres, božićnica; </w:t>
      </w:r>
    </w:p>
    <w:p w:rsidR="005F16C4" w:rsidRDefault="00B47945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naknade troškova zaposlenima- prijevoz na posao i s posla</w:t>
      </w:r>
    </w:p>
    <w:p w:rsidR="005F772D" w:rsidRDefault="005F772D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obveznih udžbenika za učenike i </w:t>
      </w:r>
      <w:proofErr w:type="spellStart"/>
      <w:r>
        <w:rPr>
          <w:rFonts w:ascii="Times New Roman" w:hAnsi="Times New Roman" w:cs="Times New Roman"/>
          <w:sz w:val="24"/>
          <w:szCs w:val="24"/>
        </w:rPr>
        <w:t>lektirne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građe</w:t>
      </w:r>
    </w:p>
    <w:p w:rsidR="0057187E" w:rsidRDefault="0057187E" w:rsidP="005718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7187E" w:rsidRPr="0057187E" w:rsidRDefault="0057187E" w:rsidP="0057187E">
      <w:pPr>
        <w:jc w:val="both"/>
      </w:pPr>
      <w:r>
        <w:rPr>
          <w:b/>
        </w:rPr>
        <w:t xml:space="preserve">  </w:t>
      </w:r>
      <w:r w:rsidRPr="0057187E">
        <w:t>636 Državni proračun- iznos planiranog prihoda:</w:t>
      </w:r>
    </w:p>
    <w:p w:rsidR="0057187E" w:rsidRPr="0057187E" w:rsidRDefault="0057187E" w:rsidP="0057187E">
      <w:pPr>
        <w:jc w:val="both"/>
      </w:pPr>
      <w:r w:rsidRPr="0057187E">
        <w:t xml:space="preserve">        202</w:t>
      </w:r>
      <w:r w:rsidR="00002002">
        <w:t>5</w:t>
      </w:r>
      <w:r w:rsidRPr="0057187E">
        <w:t xml:space="preserve">.- </w:t>
      </w:r>
      <w:r w:rsidR="0083311B">
        <w:t>838</w:t>
      </w:r>
      <w:r w:rsidR="00002002">
        <w:t>.</w:t>
      </w:r>
      <w:r w:rsidR="0083311B">
        <w:t>337,51</w:t>
      </w:r>
      <w:r w:rsidRPr="0057187E">
        <w:t xml:space="preserve"> €</w:t>
      </w:r>
    </w:p>
    <w:p w:rsidR="0057187E" w:rsidRPr="00E209C4" w:rsidRDefault="0057187E" w:rsidP="0057187E">
      <w:pPr>
        <w:jc w:val="both"/>
      </w:pPr>
      <w:r w:rsidRPr="00E209C4">
        <w:t xml:space="preserve">        202</w:t>
      </w:r>
      <w:r w:rsidR="00002002">
        <w:t>6</w:t>
      </w:r>
      <w:r w:rsidRPr="00E209C4">
        <w:t xml:space="preserve">.- </w:t>
      </w:r>
      <w:r w:rsidR="0083311B">
        <w:t>822</w:t>
      </w:r>
      <w:r w:rsidR="00002002">
        <w:t>.</w:t>
      </w:r>
      <w:r w:rsidR="0083311B">
        <w:t>196</w:t>
      </w:r>
      <w:r w:rsidR="00002002">
        <w:t xml:space="preserve">, </w:t>
      </w:r>
      <w:r w:rsidR="00B3779B">
        <w:t>00</w:t>
      </w:r>
      <w:r>
        <w:t xml:space="preserve"> €</w:t>
      </w:r>
    </w:p>
    <w:p w:rsidR="0057187E" w:rsidRPr="00E209C4" w:rsidRDefault="0057187E" w:rsidP="0057187E">
      <w:pPr>
        <w:jc w:val="both"/>
      </w:pPr>
      <w:r w:rsidRPr="00E209C4">
        <w:t xml:space="preserve">        202</w:t>
      </w:r>
      <w:r w:rsidR="00002002">
        <w:t>7</w:t>
      </w:r>
      <w:r w:rsidRPr="00E209C4">
        <w:t xml:space="preserve">.- </w:t>
      </w:r>
      <w:r w:rsidR="0083311B">
        <w:t>934</w:t>
      </w:r>
      <w:r w:rsidR="00467BC4">
        <w:t>.</w:t>
      </w:r>
      <w:r w:rsidR="0083311B">
        <w:t>528</w:t>
      </w:r>
      <w:r w:rsidR="00B3779B">
        <w:t>, 00</w:t>
      </w:r>
      <w:r>
        <w:t xml:space="preserve"> €</w:t>
      </w:r>
    </w:p>
    <w:p w:rsidR="0057187E" w:rsidRDefault="0057187E" w:rsidP="005718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7187E" w:rsidRPr="000F2AAD" w:rsidRDefault="0057187E" w:rsidP="005718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5F16C4" w:rsidRPr="000F2AAD" w:rsidRDefault="005F16C4" w:rsidP="000F2AAD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187E">
        <w:rPr>
          <w:rFonts w:ascii="Times New Roman" w:hAnsi="Times New Roman" w:cs="Times New Roman"/>
          <w:b/>
          <w:sz w:val="24"/>
          <w:szCs w:val="24"/>
        </w:rPr>
        <w:t>Opći prihodi i primici, skupina 671, regionalni proračun za financiranje materijalnih i financijskih rashoda i obnovu nefinancijske imovine</w:t>
      </w:r>
      <w:r w:rsidR="00B47945" w:rsidRPr="000F2AAD">
        <w:rPr>
          <w:rFonts w:ascii="Times New Roman" w:hAnsi="Times New Roman" w:cs="Times New Roman"/>
          <w:sz w:val="24"/>
          <w:szCs w:val="24"/>
        </w:rPr>
        <w:t xml:space="preserve"> </w:t>
      </w:r>
      <w:r w:rsidR="000F2AAD" w:rsidRPr="000F2AAD">
        <w:rPr>
          <w:rFonts w:ascii="Times New Roman" w:hAnsi="Times New Roman" w:cs="Times New Roman"/>
          <w:sz w:val="24"/>
          <w:szCs w:val="24"/>
        </w:rPr>
        <w:t>–</w:t>
      </w:r>
      <w:r w:rsidR="00B47945" w:rsidRPr="000F2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AAD" w:rsidRPr="000F2AAD" w:rsidRDefault="000F2AAD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režijske troškove i usluge</w:t>
      </w:r>
    </w:p>
    <w:p w:rsidR="000F2AAD" w:rsidRPr="000F2AAD" w:rsidRDefault="000F2AAD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zakupnine i najamnine ( prijevoz učenika i najam stanova za profesore putnike)</w:t>
      </w:r>
    </w:p>
    <w:p w:rsidR="000F2AAD" w:rsidRPr="000F2AAD" w:rsidRDefault="000F2AAD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nabavu uredskog materijala</w:t>
      </w:r>
    </w:p>
    <w:p w:rsidR="000F2AAD" w:rsidRPr="000F2AAD" w:rsidRDefault="000F2AAD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stručno usavršavanje zaposlenika</w:t>
      </w:r>
    </w:p>
    <w:p w:rsidR="000F2AAD" w:rsidRPr="000F2AAD" w:rsidRDefault="000F2AAD" w:rsidP="000F2AAD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održavanje i popravak opreme</w:t>
      </w:r>
    </w:p>
    <w:p w:rsidR="0057187E" w:rsidRPr="0057187E" w:rsidRDefault="000F2AAD" w:rsidP="0014250B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2AAD">
        <w:rPr>
          <w:rFonts w:ascii="Times New Roman" w:hAnsi="Times New Roman" w:cs="Times New Roman"/>
          <w:sz w:val="24"/>
          <w:szCs w:val="24"/>
        </w:rPr>
        <w:t>ostale troško</w:t>
      </w:r>
      <w:r w:rsidR="0014250B">
        <w:rPr>
          <w:rFonts w:ascii="Times New Roman" w:hAnsi="Times New Roman" w:cs="Times New Roman"/>
          <w:sz w:val="24"/>
          <w:szCs w:val="24"/>
        </w:rPr>
        <w:t>ve</w:t>
      </w:r>
    </w:p>
    <w:p w:rsidR="0057187E" w:rsidRDefault="0057187E" w:rsidP="0057187E">
      <w:pPr>
        <w:ind w:left="360"/>
        <w:jc w:val="both"/>
      </w:pPr>
      <w:r w:rsidRPr="0057187E">
        <w:t>671 Županijski proračun-</w:t>
      </w:r>
      <w:r>
        <w:t>iznos planiranog prihoda:</w:t>
      </w:r>
    </w:p>
    <w:p w:rsidR="0057187E" w:rsidRPr="00E209C4" w:rsidRDefault="0057187E" w:rsidP="0057187E">
      <w:pPr>
        <w:ind w:left="360"/>
        <w:jc w:val="both"/>
      </w:pPr>
      <w:r w:rsidRPr="00E209C4">
        <w:t xml:space="preserve">        202</w:t>
      </w:r>
      <w:r w:rsidR="00467BC4">
        <w:t>5</w:t>
      </w:r>
      <w:r w:rsidRPr="00E209C4">
        <w:t xml:space="preserve">.- </w:t>
      </w:r>
      <w:r w:rsidR="0083311B">
        <w:t>70</w:t>
      </w:r>
      <w:r w:rsidR="00467BC4">
        <w:t>.</w:t>
      </w:r>
      <w:r w:rsidR="0083311B">
        <w:t>935</w:t>
      </w:r>
      <w:r w:rsidR="00467BC4">
        <w:t>,</w:t>
      </w:r>
      <w:r w:rsidR="0083311B">
        <w:t>46</w:t>
      </w:r>
      <w:r>
        <w:t xml:space="preserve"> €</w:t>
      </w:r>
    </w:p>
    <w:p w:rsidR="0057187E" w:rsidRPr="00E209C4" w:rsidRDefault="0057187E" w:rsidP="0057187E">
      <w:pPr>
        <w:ind w:left="360"/>
        <w:jc w:val="both"/>
      </w:pPr>
      <w:r w:rsidRPr="00E209C4">
        <w:t xml:space="preserve">        202</w:t>
      </w:r>
      <w:r w:rsidR="00467BC4">
        <w:t>6</w:t>
      </w:r>
      <w:r w:rsidRPr="00E209C4">
        <w:t xml:space="preserve">.- </w:t>
      </w:r>
      <w:r w:rsidR="00B3779B">
        <w:t>61</w:t>
      </w:r>
      <w:r w:rsidR="00467BC4">
        <w:t>.</w:t>
      </w:r>
      <w:r w:rsidR="00B3779B">
        <w:t>415,49</w:t>
      </w:r>
      <w:r w:rsidR="00467BC4">
        <w:t xml:space="preserve"> </w:t>
      </w:r>
      <w:r>
        <w:t>€</w:t>
      </w:r>
    </w:p>
    <w:p w:rsidR="0057187E" w:rsidRDefault="0057187E" w:rsidP="0057187E">
      <w:pPr>
        <w:ind w:left="360"/>
        <w:jc w:val="both"/>
      </w:pPr>
      <w:r w:rsidRPr="00E209C4">
        <w:t xml:space="preserve">        202</w:t>
      </w:r>
      <w:r w:rsidR="00467BC4">
        <w:t>7</w:t>
      </w:r>
      <w:r w:rsidRPr="00E209C4">
        <w:t xml:space="preserve">.- </w:t>
      </w:r>
      <w:r w:rsidR="00B3779B">
        <w:t xml:space="preserve">61.415,49 </w:t>
      </w:r>
      <w:r>
        <w:t>€</w:t>
      </w:r>
    </w:p>
    <w:p w:rsidR="0057187E" w:rsidRPr="00E209C4" w:rsidRDefault="0057187E" w:rsidP="0057187E">
      <w:pPr>
        <w:ind w:left="360"/>
        <w:jc w:val="both"/>
      </w:pPr>
    </w:p>
    <w:p w:rsidR="0057187E" w:rsidRDefault="0057187E" w:rsidP="0057187E">
      <w:pPr>
        <w:jc w:val="both"/>
      </w:pPr>
      <w:r w:rsidRPr="00BE0D52">
        <w:lastRenderedPageBreak/>
        <w:t xml:space="preserve">Planirani prihodi iz županijskog proračuna </w:t>
      </w:r>
      <w:r>
        <w:t>doneseni</w:t>
      </w:r>
      <w:r w:rsidRPr="00BE0D52">
        <w:t xml:space="preserve"> su na temelju Uputa za izradu prijedloga proračuna i financijskog plana upravnih tijela, proračunskih i izvanproračunskih korisnika Zadarske županije za razdoblje </w:t>
      </w:r>
      <w:r w:rsidR="00B3779B">
        <w:t>2026</w:t>
      </w:r>
      <w:r w:rsidRPr="00BE0D52">
        <w:t>.-</w:t>
      </w:r>
      <w:r w:rsidR="00B3779B">
        <w:t>2028</w:t>
      </w:r>
      <w:r w:rsidRPr="00BE0D52">
        <w:t>. - za materijalne i financijske rashode škole, koje osnivač osigura</w:t>
      </w:r>
      <w:r>
        <w:t>va iz decentraliziranih funkcija na temelju odluke o minimalnim financijskim sredstvima od strane RH.</w:t>
      </w:r>
    </w:p>
    <w:p w:rsidR="0057187E" w:rsidRPr="0057187E" w:rsidRDefault="0057187E" w:rsidP="0057187E"/>
    <w:p w:rsidR="008E604A" w:rsidRDefault="008E604A" w:rsidP="000F2AAD"/>
    <w:p w:rsidR="000F2AAD" w:rsidRDefault="000F2AAD" w:rsidP="000F2AAD">
      <w:pPr>
        <w:rPr>
          <w:b/>
        </w:rPr>
      </w:pPr>
      <w:r w:rsidRPr="000F2AAD">
        <w:rPr>
          <w:b/>
        </w:rPr>
        <w:t>Škola nema vlastitih prihoda.</w:t>
      </w:r>
    </w:p>
    <w:p w:rsidR="00564BBC" w:rsidRPr="000F2AAD" w:rsidRDefault="00564BBC" w:rsidP="000F2AAD">
      <w:pPr>
        <w:rPr>
          <w:b/>
        </w:rPr>
      </w:pPr>
    </w:p>
    <w:p w:rsidR="00A70BCD" w:rsidRDefault="00A70BCD"/>
    <w:p w:rsidR="00877873" w:rsidRPr="006C36F0" w:rsidRDefault="00877873" w:rsidP="00877873">
      <w:pPr>
        <w:jc w:val="both"/>
      </w:pPr>
      <w:r w:rsidRPr="007E2C1D">
        <w:t xml:space="preserve">Ukupan proračun Škole iznosi </w:t>
      </w:r>
      <w:r w:rsidR="0083311B">
        <w:t>922.393,73</w:t>
      </w:r>
      <w:bookmarkStart w:id="0" w:name="_GoBack"/>
      <w:bookmarkEnd w:id="0"/>
      <w:r w:rsidR="00966679" w:rsidRPr="007E2C1D">
        <w:t xml:space="preserve">€ od čega </w:t>
      </w:r>
      <w:r w:rsidR="0083311B">
        <w:t>838.337,51</w:t>
      </w:r>
      <w:r w:rsidR="00966679" w:rsidRPr="007E2C1D">
        <w:t xml:space="preserve">€ </w:t>
      </w:r>
      <w:r w:rsidRPr="007E2C1D">
        <w:t xml:space="preserve">čine troškovi plaća i doprinosa. Značajan dio sredstava se utroši na prijevoz učenika i stanarine profesorima, oko </w:t>
      </w:r>
      <w:r w:rsidR="0083311B">
        <w:t>39</w:t>
      </w:r>
      <w:r w:rsidR="00834672">
        <w:t>.</w:t>
      </w:r>
      <w:r w:rsidR="0083311B">
        <w:t>500</w:t>
      </w:r>
      <w:r w:rsidR="00834672">
        <w:t>,00</w:t>
      </w:r>
      <w:r w:rsidR="00834672" w:rsidRPr="007E2C1D">
        <w:t xml:space="preserve"> €, </w:t>
      </w:r>
      <w:r w:rsidR="00834672">
        <w:t xml:space="preserve"> koliko je do sada potrošeno, </w:t>
      </w:r>
      <w:r w:rsidRPr="007E2C1D">
        <w:t>a ostalo se raspoređuje na potrošni i kancelarijski materijal te energiju i lož ulje, telefon i ostale usluge.</w:t>
      </w:r>
      <w:r w:rsidRPr="006C36F0">
        <w:t xml:space="preserve"> </w:t>
      </w:r>
      <w:r w:rsidR="00C76BE8">
        <w:t xml:space="preserve">Prijevoz </w:t>
      </w:r>
      <w:r w:rsidR="007E2C1D">
        <w:t>n</w:t>
      </w:r>
      <w:r w:rsidR="00650595">
        <w:t>as svake godine odvede u manjak i predviđena sredstva nisu dostatna niti za pola godine prijevoza.</w:t>
      </w:r>
      <w:r w:rsidR="00C76BE8">
        <w:t xml:space="preserve"> </w:t>
      </w:r>
      <w:r w:rsidR="00E24E3E">
        <w:t>U</w:t>
      </w:r>
      <w:r w:rsidR="00834672">
        <w:t xml:space="preserve"> id</w:t>
      </w:r>
      <w:r w:rsidR="000267E7">
        <w:t>ućoj godini, kao i za narednih pet</w:t>
      </w:r>
      <w:r w:rsidR="00834672">
        <w:t xml:space="preserve">, očekuje nas znatno povećanje </w:t>
      </w:r>
      <w:r w:rsidR="00E24E3E">
        <w:t xml:space="preserve">cijena stanarina </w:t>
      </w:r>
      <w:r w:rsidR="00834672">
        <w:t>Općinskih stanova jer su se iznosi udvostručili u odnosu na prošlogodišnje razdoblje</w:t>
      </w:r>
      <w:r w:rsidR="00C76BE8">
        <w:t>.</w:t>
      </w:r>
      <w:r w:rsidR="00834672">
        <w:t xml:space="preserve"> Potrebno je naglasiti da su cijene stanarina još uvijek ispod tržišnih cijena te ih </w:t>
      </w:r>
      <w:r w:rsidR="00D244D3">
        <w:t>je potrebno zadržati za potrebe smještaja učitelja koji su putnici ili su došli na otok upravo radi posla.</w:t>
      </w:r>
      <w:r w:rsidR="00C76BE8">
        <w:t xml:space="preserve"> </w:t>
      </w:r>
    </w:p>
    <w:p w:rsidR="00877873" w:rsidRPr="006C36F0" w:rsidRDefault="00877873" w:rsidP="00877873">
      <w:pPr>
        <w:jc w:val="both"/>
      </w:pPr>
    </w:p>
    <w:p w:rsidR="00877873" w:rsidRDefault="00877873" w:rsidP="00877873">
      <w:pPr>
        <w:jc w:val="both"/>
      </w:pPr>
      <w:r w:rsidRPr="006C36F0">
        <w:t xml:space="preserve">Mi smo mala otočka škola s jednom područnom školom </w:t>
      </w:r>
      <w:r w:rsidR="00B4722F">
        <w:t>i</w:t>
      </w:r>
      <w:r w:rsidRPr="006C36F0">
        <w:t xml:space="preserve"> ukupno </w:t>
      </w:r>
      <w:r w:rsidR="000267E7" w:rsidRPr="00DE7703">
        <w:t>79</w:t>
      </w:r>
      <w:r w:rsidR="00B4722F" w:rsidRPr="00DE7703">
        <w:t xml:space="preserve"> učenika.</w:t>
      </w:r>
      <w:r w:rsidRPr="006C36F0">
        <w:t xml:space="preserve"> </w:t>
      </w:r>
      <w:r w:rsidR="00B4722F">
        <w:t>M</w:t>
      </w:r>
      <w:r w:rsidRPr="006C36F0">
        <w:t>ate</w:t>
      </w:r>
      <w:r w:rsidR="00B4722F">
        <w:t>rijalna sredstva su nam mala, dok potrebe kontinuirano rastu</w:t>
      </w:r>
      <w:r w:rsidRPr="00B1426A">
        <w:rPr>
          <w:b/>
        </w:rPr>
        <w:t xml:space="preserve">. </w:t>
      </w:r>
      <w:r w:rsidR="00564BBC" w:rsidRPr="00B1426A">
        <w:rPr>
          <w:b/>
        </w:rPr>
        <w:t xml:space="preserve">Sredstva planirana </w:t>
      </w:r>
      <w:r w:rsidR="00035C01" w:rsidRPr="00B1426A">
        <w:rPr>
          <w:b/>
        </w:rPr>
        <w:t>od strane Zadarske županije</w:t>
      </w:r>
      <w:r w:rsidR="00564BBC" w:rsidRPr="00B1426A">
        <w:rPr>
          <w:b/>
        </w:rPr>
        <w:t xml:space="preserve"> za slijedeću godinu su nedostatna</w:t>
      </w:r>
      <w:r w:rsidR="00564BBC">
        <w:t>, no Škola će nastaviti aplicirati projekte na razne natječaje u nadi da ćemo tako poboljšati financijsko stanje.</w:t>
      </w:r>
    </w:p>
    <w:p w:rsidR="008A624B" w:rsidRDefault="008A624B" w:rsidP="00877873">
      <w:pPr>
        <w:jc w:val="both"/>
      </w:pPr>
      <w:r w:rsidRPr="008A624B">
        <w:t xml:space="preserve">2025. godina je financijski bila izazovna. Županija (osnivač Škole) </w:t>
      </w:r>
      <w:r>
        <w:t>podmiruje sve obaveze iako</w:t>
      </w:r>
      <w:r w:rsidRPr="008A624B">
        <w:t xml:space="preserve"> sa zakašnjenjem no ne može pratiti sve </w:t>
      </w:r>
      <w:r>
        <w:t xml:space="preserve">naše </w:t>
      </w:r>
      <w:r w:rsidRPr="008A624B">
        <w:t>potrebe (primjer uređenje učionice/blagovaone</w:t>
      </w:r>
      <w:r>
        <w:t xml:space="preserve"> koja je uređena isključivo iz donacija</w:t>
      </w:r>
      <w:r w:rsidRPr="008A624B">
        <w:t>).</w:t>
      </w:r>
    </w:p>
    <w:p w:rsidR="005F772D" w:rsidRDefault="005F772D" w:rsidP="00877873">
      <w:pPr>
        <w:jc w:val="both"/>
      </w:pPr>
    </w:p>
    <w:p w:rsidR="001E0C52" w:rsidRDefault="001E0C52" w:rsidP="002E01C3">
      <w:pPr>
        <w:rPr>
          <w:b/>
          <w:sz w:val="28"/>
          <w:szCs w:val="28"/>
        </w:rPr>
      </w:pPr>
    </w:p>
    <w:p w:rsidR="001E0C52" w:rsidRPr="001E0C52" w:rsidRDefault="001E0C52" w:rsidP="001E0C52">
      <w:pPr>
        <w:rPr>
          <w:b/>
          <w:sz w:val="28"/>
          <w:szCs w:val="28"/>
        </w:rPr>
      </w:pPr>
      <w:r w:rsidRPr="001E0C52">
        <w:rPr>
          <w:b/>
          <w:sz w:val="28"/>
          <w:szCs w:val="28"/>
        </w:rPr>
        <w:t>Cilj provedbe programa u razdoblju 202</w:t>
      </w:r>
      <w:r w:rsidR="00D244D3">
        <w:rPr>
          <w:b/>
          <w:sz w:val="28"/>
          <w:szCs w:val="28"/>
        </w:rPr>
        <w:t>6</w:t>
      </w:r>
      <w:r w:rsidRPr="001E0C52">
        <w:rPr>
          <w:b/>
          <w:sz w:val="28"/>
          <w:szCs w:val="28"/>
        </w:rPr>
        <w:t>.-202</w:t>
      </w:r>
      <w:r w:rsidR="00D244D3">
        <w:rPr>
          <w:b/>
          <w:sz w:val="28"/>
          <w:szCs w:val="28"/>
        </w:rPr>
        <w:t>8</w:t>
      </w:r>
      <w:r w:rsidRPr="001E0C52">
        <w:rPr>
          <w:b/>
          <w:sz w:val="28"/>
          <w:szCs w:val="28"/>
        </w:rPr>
        <w:t xml:space="preserve">. </w:t>
      </w:r>
    </w:p>
    <w:p w:rsidR="001E0C52" w:rsidRPr="006D1FC0" w:rsidRDefault="001E0C52" w:rsidP="001E0C52">
      <w:pPr>
        <w:jc w:val="both"/>
        <w:rPr>
          <w:b/>
        </w:rPr>
      </w:pPr>
    </w:p>
    <w:p w:rsidR="00DA7249" w:rsidRPr="006D1FC0" w:rsidRDefault="001E0C52" w:rsidP="001E0C52">
      <w:pPr>
        <w:jc w:val="both"/>
      </w:pPr>
      <w:r w:rsidRPr="006D1FC0">
        <w:t>Cilj</w:t>
      </w:r>
      <w:r w:rsidR="00DA7249" w:rsidRPr="006D1FC0">
        <w:t>evi koje</w:t>
      </w:r>
      <w:r w:rsidRPr="006D1FC0">
        <w:t xml:space="preserve"> </w:t>
      </w:r>
      <w:r w:rsidR="00DA7249" w:rsidRPr="006D1FC0">
        <w:t>želimo</w:t>
      </w:r>
      <w:r w:rsidRPr="006D1FC0">
        <w:t xml:space="preserve"> postići </w:t>
      </w:r>
      <w:r w:rsidR="00DA7249" w:rsidRPr="006D1FC0">
        <w:t>su:</w:t>
      </w:r>
    </w:p>
    <w:p w:rsidR="00DA7249" w:rsidRPr="006D1FC0" w:rsidRDefault="001E0C52" w:rsidP="006D1FC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FC0">
        <w:rPr>
          <w:rFonts w:ascii="Times New Roman" w:hAnsi="Times New Roman" w:cs="Times New Roman"/>
          <w:sz w:val="24"/>
          <w:szCs w:val="24"/>
        </w:rPr>
        <w:t xml:space="preserve">manji broj negativnih ocjena, </w:t>
      </w:r>
    </w:p>
    <w:p w:rsidR="00DA7249" w:rsidRPr="006D1FC0" w:rsidRDefault="001E0C52" w:rsidP="006D1FC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FC0">
        <w:rPr>
          <w:rFonts w:ascii="Times New Roman" w:hAnsi="Times New Roman" w:cs="Times New Roman"/>
          <w:sz w:val="24"/>
          <w:szCs w:val="24"/>
        </w:rPr>
        <w:t xml:space="preserve">veći broj učenika uključenih u školske projekte </w:t>
      </w:r>
    </w:p>
    <w:p w:rsidR="00DA7249" w:rsidRPr="006D1FC0" w:rsidRDefault="00DA7249" w:rsidP="006D1FC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FC0">
        <w:rPr>
          <w:rFonts w:ascii="Times New Roman" w:hAnsi="Times New Roman" w:cs="Times New Roman"/>
          <w:sz w:val="24"/>
          <w:szCs w:val="24"/>
        </w:rPr>
        <w:t>manji broj izrečenih pedagoških mjera</w:t>
      </w:r>
    </w:p>
    <w:p w:rsidR="00DA7249" w:rsidRPr="006D1FC0" w:rsidRDefault="001E0C52" w:rsidP="006D1FC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FC0">
        <w:rPr>
          <w:rFonts w:ascii="Times New Roman" w:hAnsi="Times New Roman" w:cs="Times New Roman"/>
          <w:sz w:val="24"/>
          <w:szCs w:val="24"/>
        </w:rPr>
        <w:t>sudjelovanje većeg broja učenika na župa</w:t>
      </w:r>
      <w:r w:rsidR="00DA7249" w:rsidRPr="006D1FC0">
        <w:rPr>
          <w:rFonts w:ascii="Times New Roman" w:hAnsi="Times New Roman" w:cs="Times New Roman"/>
          <w:sz w:val="24"/>
          <w:szCs w:val="24"/>
        </w:rPr>
        <w:t>nijskim i državnim natjecanjima</w:t>
      </w:r>
    </w:p>
    <w:p w:rsidR="00DA7249" w:rsidRPr="006D1FC0" w:rsidRDefault="00DA7249" w:rsidP="006D1FC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FC0">
        <w:rPr>
          <w:rFonts w:ascii="Times New Roman" w:hAnsi="Times New Roman" w:cs="Times New Roman"/>
          <w:sz w:val="24"/>
          <w:szCs w:val="24"/>
        </w:rPr>
        <w:t>nastavak usavršavanja učitelja i stručnih suradnika</w:t>
      </w:r>
    </w:p>
    <w:p w:rsidR="00DA7249" w:rsidRDefault="00DA7249" w:rsidP="006D1FC0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FC0">
        <w:rPr>
          <w:rFonts w:ascii="Times New Roman" w:hAnsi="Times New Roman" w:cs="Times New Roman"/>
          <w:sz w:val="24"/>
          <w:szCs w:val="24"/>
        </w:rPr>
        <w:t>češće izvođenje terenske nastave</w:t>
      </w:r>
      <w:r w:rsidR="00563446">
        <w:rPr>
          <w:rFonts w:ascii="Times New Roman" w:hAnsi="Times New Roman" w:cs="Times New Roman"/>
          <w:sz w:val="24"/>
          <w:szCs w:val="24"/>
        </w:rPr>
        <w:t xml:space="preserve"> i provođenja radionica za djecu</w:t>
      </w:r>
    </w:p>
    <w:p w:rsidR="00CE1E87" w:rsidRPr="00CE1E87" w:rsidRDefault="00CE1E87" w:rsidP="00CE1E87"/>
    <w:p w:rsidR="00CE1E87" w:rsidRPr="00CE1E87" w:rsidRDefault="00CE1E87" w:rsidP="00CE1E87">
      <w:r w:rsidRPr="00CE1E87">
        <w:t xml:space="preserve">Pokazatelji uspješnosti: broj odrađenih radionica, broj pohađane terenske nastave, broj odrađenih seminara za osoblje, </w:t>
      </w:r>
      <w:r>
        <w:t xml:space="preserve">broj </w:t>
      </w:r>
      <w:r w:rsidRPr="00CE1E87">
        <w:t>učenika na županijskim i državnim natjecanjima</w:t>
      </w:r>
    </w:p>
    <w:p w:rsidR="001E0C52" w:rsidRPr="00B53AD0" w:rsidRDefault="001E0C52" w:rsidP="002E01C3">
      <w:pPr>
        <w:rPr>
          <w:b/>
          <w:sz w:val="28"/>
          <w:szCs w:val="28"/>
        </w:rPr>
      </w:pPr>
    </w:p>
    <w:p w:rsidR="00877873" w:rsidRPr="00B53AD0" w:rsidRDefault="007E164F" w:rsidP="002E01C3">
      <w:pPr>
        <w:rPr>
          <w:b/>
          <w:sz w:val="28"/>
          <w:szCs w:val="28"/>
        </w:rPr>
      </w:pPr>
      <w:r w:rsidRPr="00B53AD0">
        <w:rPr>
          <w:b/>
          <w:sz w:val="28"/>
          <w:szCs w:val="28"/>
        </w:rPr>
        <w:t>Postignuti ciljevi u 202</w:t>
      </w:r>
      <w:r w:rsidR="00D244D3">
        <w:rPr>
          <w:b/>
          <w:sz w:val="28"/>
          <w:szCs w:val="28"/>
        </w:rPr>
        <w:t>5.godini</w:t>
      </w:r>
    </w:p>
    <w:p w:rsidR="007E164F" w:rsidRDefault="007E164F" w:rsidP="007E164F">
      <w:pPr>
        <w:jc w:val="both"/>
        <w:rPr>
          <w:b/>
          <w:sz w:val="28"/>
          <w:szCs w:val="28"/>
        </w:rPr>
      </w:pPr>
    </w:p>
    <w:p w:rsidR="00DE7703" w:rsidRPr="001A3DF1" w:rsidRDefault="007E164F" w:rsidP="007E164F">
      <w:pPr>
        <w:jc w:val="both"/>
      </w:pPr>
      <w:r w:rsidRPr="001A3DF1">
        <w:t xml:space="preserve">U </w:t>
      </w:r>
      <w:r w:rsidR="00D244D3" w:rsidRPr="001A3DF1">
        <w:t>2025</w:t>
      </w:r>
      <w:r w:rsidRPr="001A3DF1">
        <w:t>.</w:t>
      </w:r>
      <w:r w:rsidR="00F36F47" w:rsidRPr="001A3DF1">
        <w:t xml:space="preserve"> </w:t>
      </w:r>
      <w:r w:rsidRPr="001A3DF1">
        <w:t xml:space="preserve">godini nastavni proces se odvijao </w:t>
      </w:r>
      <w:r w:rsidR="00E04C10" w:rsidRPr="001A3DF1">
        <w:t>neometano. Radili smo uspješno i smatramo da smo napravili veliki napredak u odnosu na 202</w:t>
      </w:r>
      <w:r w:rsidR="00D244D3" w:rsidRPr="001A3DF1">
        <w:t>4</w:t>
      </w:r>
      <w:r w:rsidR="00E04C10" w:rsidRPr="001A3DF1">
        <w:t xml:space="preserve">.godinu. </w:t>
      </w:r>
      <w:r w:rsidR="001A3DF1" w:rsidRPr="001A3DF1">
        <w:t>Donatorskim sredstvima je obnovljena učionica u prizemlju Matične škole, preuređena je djelomično i u blagovaonu te će do kraja 2025.godine biti omogućena priprema obroka za sve učenike</w:t>
      </w:r>
      <w:r w:rsidR="00021681">
        <w:t xml:space="preserve"> Matične škole</w:t>
      </w:r>
      <w:r w:rsidR="001A3DF1" w:rsidRPr="001A3DF1">
        <w:t>.</w:t>
      </w:r>
    </w:p>
    <w:p w:rsidR="001A3DF1" w:rsidRPr="001A3DF1" w:rsidRDefault="001A3DF1" w:rsidP="007E164F">
      <w:pPr>
        <w:jc w:val="both"/>
      </w:pPr>
    </w:p>
    <w:p w:rsidR="00E04C10" w:rsidRDefault="00E04C10" w:rsidP="007E164F">
      <w:pPr>
        <w:jc w:val="both"/>
      </w:pPr>
      <w:r w:rsidRPr="001A3DF1">
        <w:lastRenderedPageBreak/>
        <w:t>Realizirani su svi sadržaji predviđeni Godišnjim planom i programom rada škole i školskim kurikulumom.</w:t>
      </w:r>
      <w:r>
        <w:t xml:space="preserve"> </w:t>
      </w:r>
    </w:p>
    <w:p w:rsidR="00C1125A" w:rsidRDefault="00C1125A" w:rsidP="00C1125A">
      <w:pPr>
        <w:jc w:val="both"/>
      </w:pPr>
    </w:p>
    <w:p w:rsidR="00A21547" w:rsidRDefault="00A21547" w:rsidP="00C1125A">
      <w:pPr>
        <w:jc w:val="both"/>
      </w:pPr>
    </w:p>
    <w:p w:rsidR="00C1125A" w:rsidRPr="00A21547" w:rsidRDefault="00DE7703" w:rsidP="00C1125A">
      <w:pPr>
        <w:jc w:val="both"/>
      </w:pPr>
      <w:r>
        <w:t>O</w:t>
      </w:r>
      <w:r w:rsidR="006715C2">
        <w:t>držane</w:t>
      </w:r>
      <w:r w:rsidR="00C1125A" w:rsidRPr="00A21547">
        <w:t xml:space="preserve"> </w:t>
      </w:r>
      <w:r w:rsidR="006715C2">
        <w:t>su slijedeće aktivnosti</w:t>
      </w:r>
      <w:r w:rsidR="00E04C10" w:rsidRPr="00A21547">
        <w:t xml:space="preserve">: </w:t>
      </w:r>
    </w:p>
    <w:p w:rsidR="00C1125A" w:rsidRPr="00A21547" w:rsidRDefault="00C1125A" w:rsidP="00C1125A">
      <w:pPr>
        <w:jc w:val="both"/>
      </w:pPr>
    </w:p>
    <w:p w:rsidR="00B80589" w:rsidRPr="0039406D" w:rsidRDefault="00B80589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Dani kruha za sve učenike</w:t>
      </w:r>
    </w:p>
    <w:p w:rsidR="0083095E" w:rsidRPr="0039406D" w:rsidRDefault="0066590A" w:rsidP="0083095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Županijsko natjec</w:t>
      </w:r>
      <w:r w:rsidR="00DE7703" w:rsidRPr="0039406D">
        <w:rPr>
          <w:rFonts w:ascii="Times New Roman" w:hAnsi="Times New Roman" w:cs="Times New Roman"/>
        </w:rPr>
        <w:t>anje u malom nogometu, učenici 6</w:t>
      </w:r>
      <w:r w:rsidRPr="0039406D">
        <w:rPr>
          <w:rFonts w:ascii="Times New Roman" w:hAnsi="Times New Roman" w:cs="Times New Roman"/>
        </w:rPr>
        <w:t>-7. Razreda</w:t>
      </w:r>
    </w:p>
    <w:p w:rsidR="007C49CD" w:rsidRPr="0039406D" w:rsidRDefault="007C49CD" w:rsidP="0083095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/>
        </w:rPr>
        <w:t xml:space="preserve">Županijsko natjecanje u </w:t>
      </w:r>
      <w:proofErr w:type="spellStart"/>
      <w:r w:rsidRPr="0039406D">
        <w:rPr>
          <w:rFonts w:ascii="Times New Roman" w:hAnsi="Times New Roman"/>
        </w:rPr>
        <w:t>cross</w:t>
      </w:r>
      <w:proofErr w:type="spellEnd"/>
      <w:r w:rsidRPr="0039406D">
        <w:rPr>
          <w:rFonts w:ascii="Times New Roman" w:hAnsi="Times New Roman"/>
        </w:rPr>
        <w:t>-u (sudjelovali učenici 5</w:t>
      </w:r>
      <w:r w:rsidR="0083095E" w:rsidRPr="0039406D">
        <w:rPr>
          <w:rFonts w:ascii="Times New Roman" w:hAnsi="Times New Roman"/>
        </w:rPr>
        <w:t>-8</w:t>
      </w:r>
      <w:r w:rsidRPr="0039406D">
        <w:rPr>
          <w:rFonts w:ascii="Times New Roman" w:hAnsi="Times New Roman"/>
        </w:rPr>
        <w:t>. razreda)</w:t>
      </w:r>
    </w:p>
    <w:p w:rsidR="007305B5" w:rsidRPr="0039406D" w:rsidRDefault="0066590A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Projekt „Pun ruksak kulture“ u suradnji sa Ministarstvom znanosti i obrazovanja</w:t>
      </w:r>
      <w:r w:rsidR="00DE7703" w:rsidRPr="0039406D">
        <w:rPr>
          <w:rFonts w:ascii="Times New Roman" w:hAnsi="Times New Roman" w:cs="Times New Roman"/>
        </w:rPr>
        <w:t xml:space="preserve"> u PŠ </w:t>
      </w:r>
      <w:proofErr w:type="spellStart"/>
      <w:r w:rsidR="00DE7703" w:rsidRPr="0039406D">
        <w:rPr>
          <w:rFonts w:ascii="Times New Roman" w:hAnsi="Times New Roman" w:cs="Times New Roman"/>
        </w:rPr>
        <w:t>Božava</w:t>
      </w:r>
      <w:proofErr w:type="spellEnd"/>
    </w:p>
    <w:p w:rsidR="0066590A" w:rsidRPr="0039406D" w:rsidRDefault="0066590A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Županijsko natjec</w:t>
      </w:r>
      <w:r w:rsidR="0083095E" w:rsidRPr="0039406D">
        <w:rPr>
          <w:rFonts w:ascii="Times New Roman" w:hAnsi="Times New Roman" w:cs="Times New Roman"/>
        </w:rPr>
        <w:t>anje u stolnom tenisu, učenice 5. – 8</w:t>
      </w:r>
      <w:r w:rsidRPr="0039406D">
        <w:rPr>
          <w:rFonts w:ascii="Times New Roman" w:hAnsi="Times New Roman" w:cs="Times New Roman"/>
        </w:rPr>
        <w:t>. Razreda</w:t>
      </w:r>
    </w:p>
    <w:p w:rsidR="005E2D0B" w:rsidRPr="0039406D" w:rsidRDefault="005E2D0B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ICSE </w:t>
      </w:r>
      <w:proofErr w:type="spellStart"/>
      <w:r w:rsidRPr="0039406D">
        <w:rPr>
          <w:rFonts w:ascii="Times New Roman" w:hAnsi="Times New Roman" w:cs="Times New Roman"/>
        </w:rPr>
        <w:t>Science</w:t>
      </w:r>
      <w:proofErr w:type="spellEnd"/>
      <w:r w:rsidRPr="0039406D">
        <w:rPr>
          <w:rFonts w:ascii="Times New Roman" w:hAnsi="Times New Roman" w:cs="Times New Roman"/>
        </w:rPr>
        <w:t xml:space="preserve"> </w:t>
      </w:r>
      <w:proofErr w:type="spellStart"/>
      <w:r w:rsidRPr="0039406D">
        <w:rPr>
          <w:rFonts w:ascii="Times New Roman" w:hAnsi="Times New Roman" w:cs="Times New Roman"/>
        </w:rPr>
        <w:t>factory</w:t>
      </w:r>
      <w:proofErr w:type="spellEnd"/>
      <w:r w:rsidRPr="0039406D">
        <w:rPr>
          <w:rFonts w:ascii="Times New Roman" w:hAnsi="Times New Roman" w:cs="Times New Roman"/>
        </w:rPr>
        <w:t>/robotika</w:t>
      </w:r>
    </w:p>
    <w:p w:rsidR="0066590A" w:rsidRPr="0039406D" w:rsidRDefault="0066590A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Večer matematike</w:t>
      </w:r>
      <w:r w:rsidR="00A01B02" w:rsidRPr="0039406D">
        <w:rPr>
          <w:rFonts w:ascii="Times New Roman" w:hAnsi="Times New Roman" w:cs="Times New Roman"/>
        </w:rPr>
        <w:t>, druženje učitelja, učenika i roditelja</w:t>
      </w:r>
    </w:p>
    <w:p w:rsidR="005E2D0B" w:rsidRPr="0039406D" w:rsidRDefault="00A01B02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Projekt „Pun ruksak kulture“ u suradnji sa Ministarstvom znanosti i obrazovanja</w:t>
      </w:r>
    </w:p>
    <w:p w:rsidR="0039406D" w:rsidRPr="0039406D" w:rsidRDefault="0039406D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Projekt MASLINA – učenici 1-4.razreda</w:t>
      </w:r>
    </w:p>
    <w:p w:rsidR="007C49CD" w:rsidRPr="0039406D" w:rsidRDefault="00A01B02" w:rsidP="007C49CD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Školska Božićna priredba</w:t>
      </w:r>
    </w:p>
    <w:p w:rsidR="00FA0A4C" w:rsidRPr="0039406D" w:rsidRDefault="00FA0A4C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Županijsko natjecanje iz informatike-digitalne kompetencije (učenici 6</w:t>
      </w:r>
      <w:r w:rsidR="007C49CD" w:rsidRPr="0039406D">
        <w:rPr>
          <w:rFonts w:ascii="Times New Roman" w:hAnsi="Times New Roman" w:cs="Times New Roman"/>
        </w:rPr>
        <w:t>-8</w:t>
      </w:r>
      <w:r w:rsidRPr="0039406D">
        <w:rPr>
          <w:rFonts w:ascii="Times New Roman" w:hAnsi="Times New Roman" w:cs="Times New Roman"/>
        </w:rPr>
        <w:t>. Razreda)</w:t>
      </w:r>
    </w:p>
    <w:p w:rsidR="00FA0A4C" w:rsidRPr="0039406D" w:rsidRDefault="00FA0A4C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Županijsko natjecanje iz odbojke, djevojčice </w:t>
      </w:r>
      <w:r w:rsidR="007C49CD" w:rsidRPr="0039406D">
        <w:rPr>
          <w:rFonts w:ascii="Times New Roman" w:hAnsi="Times New Roman" w:cs="Times New Roman"/>
        </w:rPr>
        <w:t>5-8.</w:t>
      </w:r>
      <w:r w:rsidRPr="0039406D">
        <w:rPr>
          <w:rFonts w:ascii="Times New Roman" w:hAnsi="Times New Roman" w:cs="Times New Roman"/>
        </w:rPr>
        <w:t xml:space="preserve"> Razred</w:t>
      </w:r>
    </w:p>
    <w:p w:rsidR="0039406D" w:rsidRPr="0039406D" w:rsidRDefault="0039406D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Planinarenje u NP Paklenica sa PŠ Brune Krstića, Zadar</w:t>
      </w:r>
    </w:p>
    <w:p w:rsidR="007730C7" w:rsidRPr="0039406D" w:rsidRDefault="007730C7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39406D">
        <w:rPr>
          <w:rFonts w:ascii="Times New Roman" w:hAnsi="Times New Roman" w:cs="Times New Roman"/>
        </w:rPr>
        <w:t>Dugootočki</w:t>
      </w:r>
      <w:proofErr w:type="spellEnd"/>
      <w:r w:rsidRPr="0039406D">
        <w:rPr>
          <w:rFonts w:ascii="Times New Roman" w:hAnsi="Times New Roman" w:cs="Times New Roman"/>
        </w:rPr>
        <w:t xml:space="preserve"> nomadi – projekt Ministarstva znanosti i obrazovanja</w:t>
      </w:r>
    </w:p>
    <w:p w:rsidR="007730C7" w:rsidRPr="0039406D" w:rsidRDefault="007730C7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Mat LIGA – matematičko natjecanje, 1-8. razred</w:t>
      </w:r>
    </w:p>
    <w:p w:rsidR="00FA0A4C" w:rsidRPr="0039406D" w:rsidRDefault="00FA0A4C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Županijsko natjecanje  „Čitanjem do zvijezda“, učenice 5. 6. I 8. Razreda</w:t>
      </w:r>
    </w:p>
    <w:p w:rsidR="0083095E" w:rsidRPr="0039406D" w:rsidRDefault="0083095E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Državno natjecanje „LIDRANO“, učenica 6. </w:t>
      </w:r>
      <w:r w:rsidR="007730C7" w:rsidRPr="0039406D">
        <w:rPr>
          <w:rFonts w:ascii="Times New Roman" w:hAnsi="Times New Roman" w:cs="Times New Roman"/>
        </w:rPr>
        <w:t>R</w:t>
      </w:r>
      <w:r w:rsidRPr="0039406D">
        <w:rPr>
          <w:rFonts w:ascii="Times New Roman" w:hAnsi="Times New Roman" w:cs="Times New Roman"/>
        </w:rPr>
        <w:t>azreda</w:t>
      </w:r>
    </w:p>
    <w:p w:rsidR="007730C7" w:rsidRPr="0039406D" w:rsidRDefault="007730C7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Županijsko natjecanje iz biologije – učenik 7.Razreda</w:t>
      </w:r>
    </w:p>
    <w:p w:rsidR="00FA0A4C" w:rsidRPr="0039406D" w:rsidRDefault="007730C7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Akcija „Veliki čitaju malima“ – DV </w:t>
      </w:r>
      <w:proofErr w:type="spellStart"/>
      <w:r w:rsidRPr="0039406D">
        <w:rPr>
          <w:rFonts w:ascii="Times New Roman" w:hAnsi="Times New Roman" w:cs="Times New Roman"/>
        </w:rPr>
        <w:t>Orkulice</w:t>
      </w:r>
      <w:proofErr w:type="spellEnd"/>
      <w:r w:rsidRPr="0039406D">
        <w:rPr>
          <w:rFonts w:ascii="Times New Roman" w:hAnsi="Times New Roman" w:cs="Times New Roman"/>
        </w:rPr>
        <w:t xml:space="preserve"> i OŠ Petar </w:t>
      </w:r>
      <w:proofErr w:type="spellStart"/>
      <w:r w:rsidRPr="0039406D">
        <w:rPr>
          <w:rFonts w:ascii="Times New Roman" w:hAnsi="Times New Roman" w:cs="Times New Roman"/>
        </w:rPr>
        <w:t>Lorini</w:t>
      </w:r>
      <w:proofErr w:type="spellEnd"/>
      <w:r w:rsidRPr="0039406D">
        <w:rPr>
          <w:rFonts w:ascii="Times New Roman" w:hAnsi="Times New Roman" w:cs="Times New Roman"/>
        </w:rPr>
        <w:t>, Sali (učenice 8.razred)</w:t>
      </w:r>
    </w:p>
    <w:p w:rsidR="00FA0A4C" w:rsidRPr="0039406D" w:rsidRDefault="00873FA0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Nacionalni ispiti (hrvatski, engleski, matematika, biologija, kemija, geografija, fizika, povijest)</w:t>
      </w:r>
    </w:p>
    <w:p w:rsidR="00873FA0" w:rsidRPr="0039406D" w:rsidRDefault="000C350A" w:rsidP="0083095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Državno</w:t>
      </w:r>
      <w:r w:rsidR="00873FA0" w:rsidRPr="0039406D">
        <w:rPr>
          <w:rFonts w:ascii="Times New Roman" w:hAnsi="Times New Roman" w:cs="Times New Roman"/>
        </w:rPr>
        <w:t xml:space="preserve"> natjecanje „Mladi tehničari“</w:t>
      </w:r>
      <w:r w:rsidRPr="0039406D">
        <w:rPr>
          <w:rFonts w:ascii="Times New Roman" w:hAnsi="Times New Roman" w:cs="Times New Roman"/>
        </w:rPr>
        <w:t>, učenice 6</w:t>
      </w:r>
      <w:r w:rsidR="00873FA0" w:rsidRPr="0039406D">
        <w:rPr>
          <w:rFonts w:ascii="Times New Roman" w:hAnsi="Times New Roman" w:cs="Times New Roman"/>
        </w:rPr>
        <w:t>. Razreda</w:t>
      </w:r>
    </w:p>
    <w:p w:rsidR="000C350A" w:rsidRPr="0039406D" w:rsidRDefault="000C350A" w:rsidP="0083095E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Evakuacijska vježba – suradnja sa Civilnom zaštitom Zadar, DVD Sali, HGSS Zadar, GDCK Zadar, PPAP Zadar, ŽC Zadar i DV </w:t>
      </w:r>
      <w:proofErr w:type="spellStart"/>
      <w:r w:rsidRPr="0039406D">
        <w:rPr>
          <w:rFonts w:ascii="Times New Roman" w:hAnsi="Times New Roman" w:cs="Times New Roman"/>
        </w:rPr>
        <w:t>Orkulice</w:t>
      </w:r>
      <w:proofErr w:type="spellEnd"/>
    </w:p>
    <w:p w:rsidR="00873FA0" w:rsidRPr="0039406D" w:rsidRDefault="00873FA0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Međunarodno natjecanje iz matematike „Klokan bez granica“, učenici od 2.-6.razreda</w:t>
      </w:r>
    </w:p>
    <w:p w:rsidR="00873FA0" w:rsidRPr="0039406D" w:rsidRDefault="00074B8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Radionica izrade palminih grančica uoči Uskrsa – 1-4.razred</w:t>
      </w:r>
    </w:p>
    <w:p w:rsidR="000C350A" w:rsidRPr="0039406D" w:rsidRDefault="000C350A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Jedrenje s posadom broda </w:t>
      </w:r>
      <w:proofErr w:type="spellStart"/>
      <w:r w:rsidRPr="0039406D">
        <w:rPr>
          <w:rFonts w:ascii="Times New Roman" w:hAnsi="Times New Roman" w:cs="Times New Roman"/>
        </w:rPr>
        <w:t>Cleansport</w:t>
      </w:r>
      <w:proofErr w:type="spellEnd"/>
      <w:r w:rsidRPr="0039406D">
        <w:rPr>
          <w:rFonts w:ascii="Times New Roman" w:hAnsi="Times New Roman" w:cs="Times New Roman"/>
        </w:rPr>
        <w:t xml:space="preserve"> One – suradnja sa JK GUC, Sali</w:t>
      </w:r>
    </w:p>
    <w:p w:rsidR="00074B8F" w:rsidRPr="0039406D" w:rsidRDefault="00074B8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Volontersko školski klub „KARUBA“ – humanitarna akcija</w:t>
      </w:r>
    </w:p>
    <w:p w:rsidR="00873FA0" w:rsidRPr="0039406D" w:rsidRDefault="00074B8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Dan planeta Zemlje – suradnja sa PP </w:t>
      </w:r>
      <w:proofErr w:type="spellStart"/>
      <w:r w:rsidRPr="0039406D">
        <w:rPr>
          <w:rFonts w:ascii="Times New Roman" w:hAnsi="Times New Roman" w:cs="Times New Roman"/>
        </w:rPr>
        <w:t>Telašćica</w:t>
      </w:r>
      <w:proofErr w:type="spellEnd"/>
      <w:r w:rsidRPr="0039406D">
        <w:rPr>
          <w:rFonts w:ascii="Times New Roman" w:hAnsi="Times New Roman" w:cs="Times New Roman"/>
        </w:rPr>
        <w:t xml:space="preserve"> (učenici 5-8.razreda)</w:t>
      </w:r>
    </w:p>
    <w:p w:rsidR="006A4973" w:rsidRPr="0039406D" w:rsidRDefault="006A4973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Smotra First </w:t>
      </w:r>
      <w:proofErr w:type="spellStart"/>
      <w:r w:rsidRPr="0039406D">
        <w:rPr>
          <w:rFonts w:ascii="Times New Roman" w:hAnsi="Times New Roman" w:cs="Times New Roman"/>
        </w:rPr>
        <w:t>Lego</w:t>
      </w:r>
      <w:proofErr w:type="spellEnd"/>
      <w:r w:rsidRPr="0039406D">
        <w:rPr>
          <w:rFonts w:ascii="Times New Roman" w:hAnsi="Times New Roman" w:cs="Times New Roman"/>
        </w:rPr>
        <w:t xml:space="preserve"> </w:t>
      </w:r>
      <w:proofErr w:type="spellStart"/>
      <w:r w:rsidRPr="0039406D">
        <w:rPr>
          <w:rFonts w:ascii="Times New Roman" w:hAnsi="Times New Roman" w:cs="Times New Roman"/>
        </w:rPr>
        <w:t>League</w:t>
      </w:r>
      <w:proofErr w:type="spellEnd"/>
      <w:r w:rsidRPr="0039406D">
        <w:rPr>
          <w:rFonts w:ascii="Times New Roman" w:hAnsi="Times New Roman" w:cs="Times New Roman"/>
        </w:rPr>
        <w:t xml:space="preserve"> </w:t>
      </w:r>
      <w:proofErr w:type="spellStart"/>
      <w:r w:rsidRPr="0039406D">
        <w:rPr>
          <w:rFonts w:ascii="Times New Roman" w:hAnsi="Times New Roman" w:cs="Times New Roman"/>
        </w:rPr>
        <w:t>Explore</w:t>
      </w:r>
      <w:proofErr w:type="spellEnd"/>
      <w:r w:rsidR="00074B8F" w:rsidRPr="0039406D">
        <w:rPr>
          <w:rFonts w:ascii="Times New Roman" w:hAnsi="Times New Roman" w:cs="Times New Roman"/>
        </w:rPr>
        <w:t xml:space="preserve"> u Zagrebu – učenici 4. razreda</w:t>
      </w:r>
    </w:p>
    <w:p w:rsidR="00A21547" w:rsidRPr="0039406D" w:rsidRDefault="006A4973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Akcija čišćenja u</w:t>
      </w:r>
      <w:r w:rsidR="00A21547" w:rsidRPr="0039406D">
        <w:rPr>
          <w:rFonts w:ascii="Times New Roman" w:hAnsi="Times New Roman" w:cs="Times New Roman"/>
        </w:rPr>
        <w:t xml:space="preserve"> Park</w:t>
      </w:r>
      <w:r w:rsidRPr="0039406D">
        <w:rPr>
          <w:rFonts w:ascii="Times New Roman" w:hAnsi="Times New Roman" w:cs="Times New Roman"/>
        </w:rPr>
        <w:t>u</w:t>
      </w:r>
      <w:r w:rsidR="00A21547" w:rsidRPr="0039406D">
        <w:rPr>
          <w:rFonts w:ascii="Times New Roman" w:hAnsi="Times New Roman" w:cs="Times New Roman"/>
        </w:rPr>
        <w:t xml:space="preserve"> prirode </w:t>
      </w:r>
      <w:proofErr w:type="spellStart"/>
      <w:r w:rsidR="00A21547" w:rsidRPr="0039406D">
        <w:rPr>
          <w:rFonts w:ascii="Times New Roman" w:hAnsi="Times New Roman" w:cs="Times New Roman"/>
        </w:rPr>
        <w:t>Telašćica</w:t>
      </w:r>
      <w:proofErr w:type="spellEnd"/>
      <w:r w:rsidR="00A21547" w:rsidRPr="0039406D">
        <w:rPr>
          <w:rFonts w:ascii="Times New Roman" w:hAnsi="Times New Roman" w:cs="Times New Roman"/>
        </w:rPr>
        <w:t xml:space="preserve">, učenici 1.-8. </w:t>
      </w:r>
      <w:r w:rsidR="00816F5F" w:rsidRPr="0039406D">
        <w:rPr>
          <w:rFonts w:ascii="Times New Roman" w:hAnsi="Times New Roman" w:cs="Times New Roman"/>
        </w:rPr>
        <w:t>R</w:t>
      </w:r>
      <w:r w:rsidR="00A21547" w:rsidRPr="0039406D">
        <w:rPr>
          <w:rFonts w:ascii="Times New Roman" w:hAnsi="Times New Roman" w:cs="Times New Roman"/>
        </w:rPr>
        <w:t>azreda</w:t>
      </w:r>
    </w:p>
    <w:p w:rsidR="00816F5F" w:rsidRPr="0039406D" w:rsidRDefault="00816F5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Sajam otočkih proizvoda u Salima  - „Dani ljekovitog bilja“</w:t>
      </w:r>
    </w:p>
    <w:p w:rsidR="00816F5F" w:rsidRPr="0039406D" w:rsidRDefault="00816F5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 xml:space="preserve">Županijska smotra učeničkih zadruga – 3. </w:t>
      </w:r>
      <w:r w:rsidR="006A4973" w:rsidRPr="0039406D">
        <w:rPr>
          <w:rFonts w:ascii="Times New Roman" w:hAnsi="Times New Roman" w:cs="Times New Roman"/>
        </w:rPr>
        <w:t>M</w:t>
      </w:r>
      <w:r w:rsidRPr="0039406D">
        <w:rPr>
          <w:rFonts w:ascii="Times New Roman" w:hAnsi="Times New Roman" w:cs="Times New Roman"/>
        </w:rPr>
        <w:t>jesto</w:t>
      </w:r>
    </w:p>
    <w:p w:rsidR="00816F5F" w:rsidRPr="0039406D" w:rsidRDefault="00816F5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STEM vještina – LEGO ESSENTIAL i SPIKE</w:t>
      </w:r>
    </w:p>
    <w:p w:rsidR="00816F5F" w:rsidRPr="0039406D" w:rsidRDefault="00816F5F" w:rsidP="00B8058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9406D">
        <w:rPr>
          <w:rFonts w:ascii="Times New Roman" w:hAnsi="Times New Roman" w:cs="Times New Roman"/>
        </w:rPr>
        <w:t>Sportske igre za Dan škole</w:t>
      </w:r>
    </w:p>
    <w:p w:rsidR="00B80589" w:rsidRPr="00A21547" w:rsidRDefault="00B80589" w:rsidP="00B80589">
      <w:pPr>
        <w:pStyle w:val="Odlomakpopisa"/>
        <w:jc w:val="both"/>
        <w:rPr>
          <w:rFonts w:ascii="Times New Roman" w:hAnsi="Times New Roman" w:cs="Times New Roman"/>
        </w:rPr>
      </w:pPr>
    </w:p>
    <w:p w:rsidR="00173ABD" w:rsidRPr="00A21547" w:rsidRDefault="00173ABD" w:rsidP="007E164F">
      <w:pPr>
        <w:jc w:val="both"/>
      </w:pPr>
    </w:p>
    <w:p w:rsidR="00173ABD" w:rsidRDefault="00173ABD" w:rsidP="00173ABD">
      <w:pPr>
        <w:ind w:left="4956" w:firstLine="708"/>
        <w:jc w:val="both"/>
      </w:pPr>
      <w:r>
        <w:t>_______________________</w:t>
      </w:r>
    </w:p>
    <w:p w:rsidR="00EE06D7" w:rsidRDefault="00D244D3" w:rsidP="00173ABD">
      <w:pPr>
        <w:ind w:left="4956" w:firstLine="708"/>
        <w:jc w:val="both"/>
      </w:pPr>
      <w:r>
        <w:t>Nada Dominis</w:t>
      </w:r>
      <w:r w:rsidR="00EE06D7">
        <w:t>,</w:t>
      </w:r>
      <w:r w:rsidR="00EE06D7" w:rsidRPr="00EE06D7">
        <w:t xml:space="preserve"> </w:t>
      </w:r>
      <w:r w:rsidR="008A624B">
        <w:t>ravnateljica</w:t>
      </w:r>
    </w:p>
    <w:p w:rsidR="00173ABD" w:rsidRDefault="00173ABD" w:rsidP="00173ABD">
      <w:pPr>
        <w:ind w:left="4956" w:firstLine="708"/>
        <w:jc w:val="both"/>
      </w:pPr>
    </w:p>
    <w:sectPr w:rsidR="0017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C38"/>
    <w:multiLevelType w:val="hybridMultilevel"/>
    <w:tmpl w:val="8F00590C"/>
    <w:lvl w:ilvl="0" w:tplc="BF2C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1F4E"/>
    <w:multiLevelType w:val="hybridMultilevel"/>
    <w:tmpl w:val="4992D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350CF"/>
    <w:multiLevelType w:val="hybridMultilevel"/>
    <w:tmpl w:val="BED20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961E7"/>
    <w:multiLevelType w:val="hybridMultilevel"/>
    <w:tmpl w:val="46802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C3B52"/>
    <w:multiLevelType w:val="hybridMultilevel"/>
    <w:tmpl w:val="E954E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C73B9"/>
    <w:multiLevelType w:val="hybridMultilevel"/>
    <w:tmpl w:val="B170C8C6"/>
    <w:lvl w:ilvl="0" w:tplc="BF2C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35FE8"/>
    <w:multiLevelType w:val="hybridMultilevel"/>
    <w:tmpl w:val="01160D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055E5"/>
    <w:multiLevelType w:val="hybridMultilevel"/>
    <w:tmpl w:val="D74E66BC"/>
    <w:lvl w:ilvl="0" w:tplc="BF2C8D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B276D6"/>
    <w:multiLevelType w:val="hybridMultilevel"/>
    <w:tmpl w:val="23A6EC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D07C2"/>
    <w:multiLevelType w:val="hybridMultilevel"/>
    <w:tmpl w:val="A7528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0205F8"/>
    <w:multiLevelType w:val="hybridMultilevel"/>
    <w:tmpl w:val="6DD873E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D145BD"/>
    <w:multiLevelType w:val="hybridMultilevel"/>
    <w:tmpl w:val="8DD81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7045E"/>
    <w:multiLevelType w:val="hybridMultilevel"/>
    <w:tmpl w:val="6C7C6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376B9"/>
    <w:multiLevelType w:val="hybridMultilevel"/>
    <w:tmpl w:val="7B24810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177504"/>
    <w:multiLevelType w:val="hybridMultilevel"/>
    <w:tmpl w:val="DCE00D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574AB"/>
    <w:multiLevelType w:val="hybridMultilevel"/>
    <w:tmpl w:val="31CCD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01E34"/>
    <w:multiLevelType w:val="hybridMultilevel"/>
    <w:tmpl w:val="EBAE1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A1338"/>
    <w:multiLevelType w:val="hybridMultilevel"/>
    <w:tmpl w:val="03FE8BD2"/>
    <w:lvl w:ilvl="0" w:tplc="BF2C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0"/>
  </w:num>
  <w:num w:numId="4">
    <w:abstractNumId w:val="0"/>
  </w:num>
  <w:num w:numId="5">
    <w:abstractNumId w:val="7"/>
  </w:num>
  <w:num w:numId="6">
    <w:abstractNumId w:val="13"/>
  </w:num>
  <w:num w:numId="7">
    <w:abstractNumId w:val="8"/>
  </w:num>
  <w:num w:numId="8">
    <w:abstractNumId w:val="14"/>
  </w:num>
  <w:num w:numId="9">
    <w:abstractNumId w:val="5"/>
  </w:num>
  <w:num w:numId="10">
    <w:abstractNumId w:val="1"/>
  </w:num>
  <w:num w:numId="11">
    <w:abstractNumId w:val="17"/>
  </w:num>
  <w:num w:numId="12">
    <w:abstractNumId w:val="15"/>
  </w:num>
  <w:num w:numId="13">
    <w:abstractNumId w:val="4"/>
  </w:num>
  <w:num w:numId="14">
    <w:abstractNumId w:val="2"/>
  </w:num>
  <w:num w:numId="15">
    <w:abstractNumId w:val="11"/>
  </w:num>
  <w:num w:numId="16">
    <w:abstractNumId w:val="12"/>
  </w:num>
  <w:num w:numId="17">
    <w:abstractNumId w:val="3"/>
  </w:num>
  <w:num w:numId="18">
    <w:abstractNumId w:val="9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91"/>
    <w:rsid w:val="00002002"/>
    <w:rsid w:val="00005398"/>
    <w:rsid w:val="00021681"/>
    <w:rsid w:val="000267E7"/>
    <w:rsid w:val="00035C01"/>
    <w:rsid w:val="000723E2"/>
    <w:rsid w:val="00074B8F"/>
    <w:rsid w:val="00093375"/>
    <w:rsid w:val="000C350A"/>
    <w:rsid w:val="000D5F35"/>
    <w:rsid w:val="000E4137"/>
    <w:rsid w:val="000F1D53"/>
    <w:rsid w:val="000F2AAD"/>
    <w:rsid w:val="00137FEE"/>
    <w:rsid w:val="0014250B"/>
    <w:rsid w:val="00173ABD"/>
    <w:rsid w:val="001A3DF1"/>
    <w:rsid w:val="001A6FBF"/>
    <w:rsid w:val="001B0A65"/>
    <w:rsid w:val="001C3D27"/>
    <w:rsid w:val="001E0C52"/>
    <w:rsid w:val="001F6984"/>
    <w:rsid w:val="002D5FCC"/>
    <w:rsid w:val="002E01C3"/>
    <w:rsid w:val="0031612E"/>
    <w:rsid w:val="0039406D"/>
    <w:rsid w:val="003C61E0"/>
    <w:rsid w:val="003E2AAF"/>
    <w:rsid w:val="00437936"/>
    <w:rsid w:val="004418F1"/>
    <w:rsid w:val="00447975"/>
    <w:rsid w:val="00467BC4"/>
    <w:rsid w:val="004D6238"/>
    <w:rsid w:val="00514E2B"/>
    <w:rsid w:val="00552594"/>
    <w:rsid w:val="0055699D"/>
    <w:rsid w:val="00563446"/>
    <w:rsid w:val="00564BBC"/>
    <w:rsid w:val="0056679C"/>
    <w:rsid w:val="0057187E"/>
    <w:rsid w:val="00597570"/>
    <w:rsid w:val="005D42A7"/>
    <w:rsid w:val="005E2D0B"/>
    <w:rsid w:val="005F16C4"/>
    <w:rsid w:val="005F772D"/>
    <w:rsid w:val="00650595"/>
    <w:rsid w:val="0066590A"/>
    <w:rsid w:val="006708F6"/>
    <w:rsid w:val="006715C2"/>
    <w:rsid w:val="00693A6C"/>
    <w:rsid w:val="006A4973"/>
    <w:rsid w:val="006C36F0"/>
    <w:rsid w:val="006D1FC0"/>
    <w:rsid w:val="00721DD8"/>
    <w:rsid w:val="007305B5"/>
    <w:rsid w:val="00734A91"/>
    <w:rsid w:val="00735537"/>
    <w:rsid w:val="007730C7"/>
    <w:rsid w:val="007748D6"/>
    <w:rsid w:val="007C05CA"/>
    <w:rsid w:val="007C49CD"/>
    <w:rsid w:val="007E164F"/>
    <w:rsid w:val="007E2C1D"/>
    <w:rsid w:val="00816F5F"/>
    <w:rsid w:val="0082130F"/>
    <w:rsid w:val="0083095E"/>
    <w:rsid w:val="0083311B"/>
    <w:rsid w:val="00834672"/>
    <w:rsid w:val="00836B75"/>
    <w:rsid w:val="00873FA0"/>
    <w:rsid w:val="00876F8D"/>
    <w:rsid w:val="00877873"/>
    <w:rsid w:val="008A624B"/>
    <w:rsid w:val="008E604A"/>
    <w:rsid w:val="00924DA2"/>
    <w:rsid w:val="009458D1"/>
    <w:rsid w:val="00962B08"/>
    <w:rsid w:val="009655EE"/>
    <w:rsid w:val="00966679"/>
    <w:rsid w:val="00980297"/>
    <w:rsid w:val="009A0276"/>
    <w:rsid w:val="009A0DCC"/>
    <w:rsid w:val="009E5655"/>
    <w:rsid w:val="00A01B02"/>
    <w:rsid w:val="00A21547"/>
    <w:rsid w:val="00A70BCD"/>
    <w:rsid w:val="00AA22AF"/>
    <w:rsid w:val="00AA5C90"/>
    <w:rsid w:val="00B1426A"/>
    <w:rsid w:val="00B36CC8"/>
    <w:rsid w:val="00B3779B"/>
    <w:rsid w:val="00B4722F"/>
    <w:rsid w:val="00B47945"/>
    <w:rsid w:val="00B508BB"/>
    <w:rsid w:val="00B53AD0"/>
    <w:rsid w:val="00B80589"/>
    <w:rsid w:val="00BA6D8E"/>
    <w:rsid w:val="00BE270D"/>
    <w:rsid w:val="00BF6BD3"/>
    <w:rsid w:val="00C1125A"/>
    <w:rsid w:val="00C14A0C"/>
    <w:rsid w:val="00C76BE8"/>
    <w:rsid w:val="00CE1E87"/>
    <w:rsid w:val="00D06F09"/>
    <w:rsid w:val="00D16ACA"/>
    <w:rsid w:val="00D244D3"/>
    <w:rsid w:val="00DA7249"/>
    <w:rsid w:val="00DE7703"/>
    <w:rsid w:val="00DF12E6"/>
    <w:rsid w:val="00E04C10"/>
    <w:rsid w:val="00E24E3E"/>
    <w:rsid w:val="00E33584"/>
    <w:rsid w:val="00E533C2"/>
    <w:rsid w:val="00E5436F"/>
    <w:rsid w:val="00E96030"/>
    <w:rsid w:val="00EC2690"/>
    <w:rsid w:val="00ED2101"/>
    <w:rsid w:val="00EE06D7"/>
    <w:rsid w:val="00F10F5F"/>
    <w:rsid w:val="00F36F47"/>
    <w:rsid w:val="00F50C0A"/>
    <w:rsid w:val="00F55EE3"/>
    <w:rsid w:val="00F56C80"/>
    <w:rsid w:val="00FA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604A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Zadanifontodlomka"/>
    <w:rsid w:val="004D6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604A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Zadanifontodlomka"/>
    <w:rsid w:val="004D6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9</cp:revision>
  <cp:lastPrinted>2024-10-24T10:01:00Z</cp:lastPrinted>
  <dcterms:created xsi:type="dcterms:W3CDTF">2025-10-28T10:14:00Z</dcterms:created>
  <dcterms:modified xsi:type="dcterms:W3CDTF">2025-10-30T09:21:00Z</dcterms:modified>
</cp:coreProperties>
</file>